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D5" w:rsidRPr="00BF6DD5" w:rsidRDefault="00BF6DD5" w:rsidP="00BF6DD5">
      <w:pPr>
        <w:spacing w:after="0" w:line="240" w:lineRule="auto"/>
        <w:rPr>
          <w:rFonts w:ascii="Tahoma" w:eastAsia="Times New Roman" w:hAnsi="Tahoma" w:cs="Tahoma"/>
          <w:sz w:val="16"/>
          <w:szCs w:val="16"/>
          <w:lang w:eastAsia="pl-PL"/>
        </w:rPr>
      </w:pPr>
      <w:bookmarkStart w:id="0" w:name="_GoBack"/>
      <w:r w:rsidRPr="00BF6DD5">
        <w:rPr>
          <w:rFonts w:ascii="Tahoma" w:eastAsia="Times New Roman" w:hAnsi="Tahoma" w:cs="Tahoma"/>
          <w:sz w:val="16"/>
          <w:szCs w:val="16"/>
          <w:lang w:eastAsia="pl-PL"/>
        </w:rPr>
        <w:t>Adres strony internetowej, na której zamieszczona będzie specyfikacja istotnych warunków zamówienia (jeżeli dotyczy):</w:t>
      </w:r>
    </w:p>
    <w:p w:rsidR="00BF6DD5" w:rsidRPr="00BF6DD5" w:rsidRDefault="00BF6DD5" w:rsidP="00BF6DD5">
      <w:pPr>
        <w:spacing w:after="0" w:line="240" w:lineRule="auto"/>
        <w:rPr>
          <w:rFonts w:ascii="Tahoma" w:eastAsia="Times New Roman" w:hAnsi="Tahoma" w:cs="Tahoma"/>
          <w:sz w:val="16"/>
          <w:szCs w:val="16"/>
          <w:lang w:eastAsia="pl-PL"/>
        </w:rPr>
      </w:pPr>
      <w:hyperlink r:id="rId4" w:tgtFrame="_blank" w:history="1">
        <w:r w:rsidRPr="00BF6DD5">
          <w:rPr>
            <w:rFonts w:ascii="Tahoma" w:eastAsia="Times New Roman" w:hAnsi="Tahoma" w:cs="Tahoma"/>
            <w:color w:val="000000"/>
            <w:sz w:val="16"/>
            <w:szCs w:val="16"/>
            <w:u w:val="single"/>
            <w:lang w:eastAsia="pl-PL"/>
          </w:rPr>
          <w:t>http://www.bip.tryncza.eu</w:t>
        </w:r>
      </w:hyperlink>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pict>
          <v:rect id="_x0000_i1025" style="width:0;height:1.5pt" o:hralign="center" o:hrstd="t" o:hr="t" fillcolor="#a0a0a0" stroked="f"/>
        </w:pic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Ogłoszenie nr 355398 - 2016 z dnia 2016-11-30 r.</w:t>
      </w:r>
    </w:p>
    <w:p w:rsidR="00BF6DD5" w:rsidRPr="00BF6DD5" w:rsidRDefault="00BF6DD5" w:rsidP="00BF6DD5">
      <w:pPr>
        <w:spacing w:after="0" w:line="240" w:lineRule="auto"/>
        <w:jc w:val="center"/>
        <w:rPr>
          <w:rFonts w:ascii="Tahoma" w:eastAsia="Times New Roman" w:hAnsi="Tahoma" w:cs="Tahoma"/>
          <w:b/>
          <w:bCs/>
          <w:sz w:val="16"/>
          <w:szCs w:val="16"/>
          <w:lang w:eastAsia="pl-PL"/>
        </w:rPr>
      </w:pPr>
      <w:r w:rsidRPr="00BF6DD5">
        <w:rPr>
          <w:rFonts w:ascii="Tahoma" w:eastAsia="Times New Roman" w:hAnsi="Tahoma" w:cs="Tahoma"/>
          <w:b/>
          <w:bCs/>
          <w:sz w:val="16"/>
          <w:szCs w:val="16"/>
          <w:lang w:eastAsia="pl-PL"/>
        </w:rPr>
        <w:t>Tryńcza: Odbiór odpadów komunalnych z nieruchomości zamieszkałych położonych na terenie Gminy Tryńcza</w:t>
      </w:r>
      <w:r w:rsidRPr="00BF6DD5">
        <w:rPr>
          <w:rFonts w:ascii="Tahoma" w:eastAsia="Times New Roman" w:hAnsi="Tahoma" w:cs="Tahoma"/>
          <w:b/>
          <w:bCs/>
          <w:sz w:val="16"/>
          <w:szCs w:val="16"/>
          <w:lang w:eastAsia="pl-PL"/>
        </w:rPr>
        <w:br/>
        <w:t>OGŁOSZENIE O ZAMÓWIENIU - Usługi</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Zamieszczanie ogłoszenia:</w:t>
      </w:r>
      <w:r w:rsidRPr="00BF6DD5">
        <w:rPr>
          <w:rFonts w:ascii="Tahoma" w:eastAsia="Times New Roman" w:hAnsi="Tahoma" w:cs="Tahoma"/>
          <w:sz w:val="16"/>
          <w:szCs w:val="16"/>
          <w:lang w:eastAsia="pl-PL"/>
        </w:rPr>
        <w:t> obowiązkowe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Ogłoszenie dotyczy:</w:t>
      </w:r>
      <w:r w:rsidRPr="00BF6DD5">
        <w:rPr>
          <w:rFonts w:ascii="Tahoma" w:eastAsia="Times New Roman" w:hAnsi="Tahoma" w:cs="Tahoma"/>
          <w:sz w:val="16"/>
          <w:szCs w:val="16"/>
          <w:lang w:eastAsia="pl-PL"/>
        </w:rPr>
        <w:t> zamówienia publicznego</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Zamówienie dotyczy projektu lub programu współfinansowanego ze środków Unii Europejskiej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Nazwa projektu lub programu</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t xml:space="preserve">Należy podać minimalny procentowy wskaźnik zatrudnienia osób należących do jednej lub więcej kategorii, o których mowa w art. 22 ust. 2 ustawy </w:t>
      </w:r>
      <w:proofErr w:type="spellStart"/>
      <w:r w:rsidRPr="00BF6DD5">
        <w:rPr>
          <w:rFonts w:ascii="Tahoma" w:eastAsia="Times New Roman" w:hAnsi="Tahoma" w:cs="Tahoma"/>
          <w:sz w:val="16"/>
          <w:szCs w:val="16"/>
          <w:lang w:eastAsia="pl-PL"/>
        </w:rPr>
        <w:t>Pzp</w:t>
      </w:r>
      <w:proofErr w:type="spellEnd"/>
      <w:r w:rsidRPr="00BF6DD5">
        <w:rPr>
          <w:rFonts w:ascii="Tahoma" w:eastAsia="Times New Roman" w:hAnsi="Tahoma" w:cs="Tahoma"/>
          <w:sz w:val="16"/>
          <w:szCs w:val="16"/>
          <w:lang w:eastAsia="pl-PL"/>
        </w:rPr>
        <w:t>, nie mniejszy niż 30%, osób zatrudnionych przez zakłady pracy chronionej lub wykonawców albo ich jednostki (w %) </w:t>
      </w:r>
    </w:p>
    <w:p w:rsidR="00BF6DD5" w:rsidRPr="00BF6DD5" w:rsidRDefault="00BF6DD5" w:rsidP="00BF6DD5">
      <w:pPr>
        <w:spacing w:after="0" w:line="240" w:lineRule="auto"/>
        <w:rPr>
          <w:rFonts w:ascii="Tahoma" w:eastAsia="Times New Roman" w:hAnsi="Tahoma" w:cs="Tahoma"/>
          <w:b/>
          <w:bCs/>
          <w:sz w:val="16"/>
          <w:szCs w:val="16"/>
          <w:lang w:eastAsia="pl-PL"/>
        </w:rPr>
      </w:pPr>
      <w:r w:rsidRPr="00BF6DD5">
        <w:rPr>
          <w:rFonts w:ascii="Tahoma" w:eastAsia="Times New Roman" w:hAnsi="Tahoma" w:cs="Tahoma"/>
          <w:b/>
          <w:bCs/>
          <w:sz w:val="16"/>
          <w:szCs w:val="16"/>
          <w:u w:val="single"/>
          <w:lang w:eastAsia="pl-PL"/>
        </w:rPr>
        <w:t>SEKCJA I: ZAMAWIAJĄCY</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Postępowanie przeprowadza centralny zamawiający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Postępowanie przeprowadza podmiot, któremu zamawiający powierzył/powierzyli przeprowadzenie postępowania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Informacje na temat podmiotu któremu zamawiający powierzył/powierzyli prowadzenie postępowania:</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Postępowanie jest przeprowadzane wspólnie przez zamawiających</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t>Jeżeli tak, należy wymienić zamawiających, którzy wspólnie przeprowadzają postępowanie oraz podać adresy ich siedzib, krajowe numery identyfikacyjne oraz osoby do kontaktów wraz z danymi do kontaktów: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Postępowanie jest przeprowadzane wspólnie z zamawiającymi z innych państw członkowskich Unii Europejskiej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W przypadku przeprowadzania postępowania wspólnie z zamawiającymi z innych państw członkowskich Unii Europejskiej – mające zastosowanie krajowe prawo zamówień publicznych:</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Informacje dodatkowe: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 1) NAZWA I ADRES: </w:t>
      </w:r>
      <w:r w:rsidRPr="00BF6DD5">
        <w:rPr>
          <w:rFonts w:ascii="Tahoma" w:eastAsia="Times New Roman" w:hAnsi="Tahoma" w:cs="Tahoma"/>
          <w:sz w:val="16"/>
          <w:szCs w:val="16"/>
          <w:lang w:eastAsia="pl-PL"/>
        </w:rPr>
        <w:t>Gmina Tryńcza, krajowy numer identyfikacyjny 65090056500000, ul. Tryńcza  127, 37204   Tryńcza, woj. podkarpackie, państwo Polska, tel. 166 421 221, e-mail ug.tryncza@data.pl, faks 166 421 221. </w:t>
      </w:r>
      <w:r w:rsidRPr="00BF6DD5">
        <w:rPr>
          <w:rFonts w:ascii="Tahoma" w:eastAsia="Times New Roman" w:hAnsi="Tahoma" w:cs="Tahoma"/>
          <w:sz w:val="16"/>
          <w:szCs w:val="16"/>
          <w:lang w:eastAsia="pl-PL"/>
        </w:rPr>
        <w:br/>
        <w:t>Adres strony internetowej (URL): www.bip.tryncza.eu</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 2) RODZAJ ZAMAWIAJĄCEGO: </w:t>
      </w:r>
      <w:r w:rsidRPr="00BF6DD5">
        <w:rPr>
          <w:rFonts w:ascii="Tahoma" w:eastAsia="Times New Roman" w:hAnsi="Tahoma" w:cs="Tahoma"/>
          <w:sz w:val="16"/>
          <w:szCs w:val="16"/>
          <w:lang w:eastAsia="pl-PL"/>
        </w:rPr>
        <w:t>Administracja samorządowa</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I.3) WSPÓLNE UDZIELANIE ZAMÓWIENIA </w:t>
      </w:r>
      <w:r w:rsidRPr="00BF6DD5">
        <w:rPr>
          <w:rFonts w:ascii="Tahoma" w:eastAsia="Times New Roman" w:hAnsi="Tahoma" w:cs="Tahoma"/>
          <w:b/>
          <w:bCs/>
          <w:i/>
          <w:iCs/>
          <w:sz w:val="16"/>
          <w:szCs w:val="16"/>
          <w:lang w:eastAsia="pl-PL"/>
        </w:rPr>
        <w:t>(jeżeli dotyczy)</w:t>
      </w:r>
      <w:r w:rsidRPr="00BF6DD5">
        <w:rPr>
          <w:rFonts w:ascii="Tahoma" w:eastAsia="Times New Roman" w:hAnsi="Tahoma" w:cs="Tahoma"/>
          <w:b/>
          <w:bCs/>
          <w:sz w:val="16"/>
          <w:szCs w:val="16"/>
          <w:lang w:eastAsia="pl-PL"/>
        </w:rPr>
        <w:t>:</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I.4) KOMUNIKACJA: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Nieograniczony, pełny i bezpośredni dostęp do dokumentów z postępowania można uzyskać pod adresem (URL)</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Adres strony internetowej, na której zamieszczona będzie specyfikacja istotnych warunków zamówienia</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tak </w:t>
      </w:r>
      <w:r w:rsidRPr="00BF6DD5">
        <w:rPr>
          <w:rFonts w:ascii="Tahoma" w:eastAsia="Times New Roman" w:hAnsi="Tahoma" w:cs="Tahoma"/>
          <w:sz w:val="16"/>
          <w:szCs w:val="16"/>
          <w:lang w:eastAsia="pl-PL"/>
        </w:rPr>
        <w:br/>
        <w:t>www.bip.tryncza.eu</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Dostęp do dokumentów z postępowania jest ograniczony - więcej informacji można uzyskać pod adresem</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Oferty lub wnioski o dopuszczenie do udziału w postępowaniu należy przesyłać:</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Elektronicznie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 </w:t>
      </w:r>
      <w:r w:rsidRPr="00BF6DD5">
        <w:rPr>
          <w:rFonts w:ascii="Tahoma" w:eastAsia="Times New Roman" w:hAnsi="Tahoma" w:cs="Tahoma"/>
          <w:sz w:val="16"/>
          <w:szCs w:val="16"/>
          <w:lang w:eastAsia="pl-PL"/>
        </w:rPr>
        <w:br/>
        <w:t>adres </w:t>
      </w:r>
    </w:p>
    <w:p w:rsidR="00BF6DD5" w:rsidRPr="00BF6DD5" w:rsidRDefault="00BF6DD5" w:rsidP="00BF6DD5">
      <w:pPr>
        <w:spacing w:after="0" w:line="240" w:lineRule="auto"/>
        <w:rPr>
          <w:rFonts w:ascii="Tahoma" w:eastAsia="Times New Roman" w:hAnsi="Tahoma" w:cs="Tahoma"/>
          <w:sz w:val="16"/>
          <w:szCs w:val="16"/>
          <w:lang w:eastAsia="pl-PL"/>
        </w:rPr>
      </w:pP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Dopuszczone jest przesłanie ofert lub wniosków o dopuszczenie do udziału w postępowaniu w inny sposób:</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Wymagane jest przesłanie ofert lub wniosków o dopuszczenie do udziału w postępowaniu w inny sposób:</w:t>
      </w:r>
      <w:r w:rsidRPr="00BF6DD5">
        <w:rPr>
          <w:rFonts w:ascii="Tahoma" w:eastAsia="Times New Roman" w:hAnsi="Tahoma" w:cs="Tahoma"/>
          <w:sz w:val="16"/>
          <w:szCs w:val="16"/>
          <w:lang w:eastAsia="pl-PL"/>
        </w:rPr>
        <w:br/>
        <w:t>tak </w:t>
      </w:r>
      <w:r w:rsidRPr="00BF6DD5">
        <w:rPr>
          <w:rFonts w:ascii="Tahoma" w:eastAsia="Times New Roman" w:hAnsi="Tahoma" w:cs="Tahoma"/>
          <w:sz w:val="16"/>
          <w:szCs w:val="16"/>
          <w:lang w:eastAsia="pl-PL"/>
        </w:rPr>
        <w:br/>
        <w:t>Inny sposób: </w:t>
      </w:r>
      <w:r w:rsidRPr="00BF6DD5">
        <w:rPr>
          <w:rFonts w:ascii="Tahoma" w:eastAsia="Times New Roman" w:hAnsi="Tahoma" w:cs="Tahoma"/>
          <w:sz w:val="16"/>
          <w:szCs w:val="16"/>
          <w:lang w:eastAsia="pl-PL"/>
        </w:rPr>
        <w:br/>
        <w:t>Forma pisemna. Składanie ofert odbywa się za pośrednictwem operatora pocztowego w rozumieniu ustawy z dnia 23 listopada 2012 r. – Prawo pocztowe (Dz. U. poz. 1529 oraz z 2015 r. poz. 1830), osobiście lub za pośrednictwem posłańca.</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lastRenderedPageBreak/>
        <w:t>Adres: </w:t>
      </w:r>
      <w:r w:rsidRPr="00BF6DD5">
        <w:rPr>
          <w:rFonts w:ascii="Tahoma" w:eastAsia="Times New Roman" w:hAnsi="Tahoma" w:cs="Tahoma"/>
          <w:sz w:val="16"/>
          <w:szCs w:val="16"/>
          <w:lang w:eastAsia="pl-PL"/>
        </w:rPr>
        <w:br/>
        <w:t>Urząd Gminy Tryńcza, 37-204 Tryńcza 127</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Komunikacja elektroniczna wymaga korzystania z narzędzi i urządzeń lub formatów plików, które nie są ogólnie dostępne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 </w:t>
      </w:r>
      <w:r w:rsidRPr="00BF6DD5">
        <w:rPr>
          <w:rFonts w:ascii="Tahoma" w:eastAsia="Times New Roman" w:hAnsi="Tahoma" w:cs="Tahoma"/>
          <w:sz w:val="16"/>
          <w:szCs w:val="16"/>
          <w:lang w:eastAsia="pl-PL"/>
        </w:rPr>
        <w:br/>
        <w:t>Nieograniczony, pełny, bezpośredni i bezpłatny dostęp do tych narzędzi można uzyskać pod adresem: (URL) </w:t>
      </w:r>
    </w:p>
    <w:p w:rsidR="00BF6DD5" w:rsidRPr="00BF6DD5" w:rsidRDefault="00BF6DD5" w:rsidP="00BF6DD5">
      <w:pPr>
        <w:spacing w:after="0" w:line="240" w:lineRule="auto"/>
        <w:rPr>
          <w:rFonts w:ascii="Tahoma" w:eastAsia="Times New Roman" w:hAnsi="Tahoma" w:cs="Tahoma"/>
          <w:b/>
          <w:bCs/>
          <w:sz w:val="16"/>
          <w:szCs w:val="16"/>
          <w:lang w:eastAsia="pl-PL"/>
        </w:rPr>
      </w:pPr>
      <w:r w:rsidRPr="00BF6DD5">
        <w:rPr>
          <w:rFonts w:ascii="Tahoma" w:eastAsia="Times New Roman" w:hAnsi="Tahoma" w:cs="Tahoma"/>
          <w:b/>
          <w:bCs/>
          <w:sz w:val="16"/>
          <w:szCs w:val="16"/>
          <w:u w:val="single"/>
          <w:lang w:eastAsia="pl-PL"/>
        </w:rPr>
        <w:t>SEKCJA II: PRZEDMIOT ZAMÓWIENIA</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II.1) Nazwa nadana zamówieniu przez zamawiającego: </w:t>
      </w:r>
      <w:r w:rsidRPr="00BF6DD5">
        <w:rPr>
          <w:rFonts w:ascii="Tahoma" w:eastAsia="Times New Roman" w:hAnsi="Tahoma" w:cs="Tahoma"/>
          <w:sz w:val="16"/>
          <w:szCs w:val="16"/>
          <w:lang w:eastAsia="pl-PL"/>
        </w:rPr>
        <w:t>Odbiór odpadów komunalnych z nieruchomości zamieszkałych położonych na terenie Gminy Tryńcza</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Numer referencyjny: </w:t>
      </w:r>
      <w:r w:rsidRPr="00BF6DD5">
        <w:rPr>
          <w:rFonts w:ascii="Tahoma" w:eastAsia="Times New Roman" w:hAnsi="Tahoma" w:cs="Tahoma"/>
          <w:sz w:val="16"/>
          <w:szCs w:val="16"/>
          <w:lang w:eastAsia="pl-PL"/>
        </w:rPr>
        <w:t>UIB.271.7.2016</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Przed wszczęciem postępowania o udzielenie zamówienia przeprowadzono dialog techniczny </w:t>
      </w:r>
    </w:p>
    <w:p w:rsidR="00BF6DD5" w:rsidRPr="00BF6DD5" w:rsidRDefault="00BF6DD5" w:rsidP="00BF6DD5">
      <w:pPr>
        <w:spacing w:after="0" w:line="240" w:lineRule="auto"/>
        <w:jc w:val="both"/>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II.2) Rodzaj zamówienia: </w:t>
      </w:r>
      <w:r w:rsidRPr="00BF6DD5">
        <w:rPr>
          <w:rFonts w:ascii="Tahoma" w:eastAsia="Times New Roman" w:hAnsi="Tahoma" w:cs="Tahoma"/>
          <w:sz w:val="16"/>
          <w:szCs w:val="16"/>
          <w:lang w:eastAsia="pl-PL"/>
        </w:rPr>
        <w:t>usługi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II.3) Informacja o możliwości składania ofert częściowych</w:t>
      </w:r>
      <w:r w:rsidRPr="00BF6DD5">
        <w:rPr>
          <w:rFonts w:ascii="Tahoma" w:eastAsia="Times New Roman" w:hAnsi="Tahoma" w:cs="Tahoma"/>
          <w:sz w:val="16"/>
          <w:szCs w:val="16"/>
          <w:lang w:eastAsia="pl-PL"/>
        </w:rPr>
        <w:br/>
        <w:t>Zamówienie podzielone jest na części: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II.4) Krótki opis przedmiotu zamówienia </w:t>
      </w:r>
      <w:r w:rsidRPr="00BF6DD5">
        <w:rPr>
          <w:rFonts w:ascii="Tahoma" w:eastAsia="Times New Roman" w:hAnsi="Tahoma" w:cs="Tahoma"/>
          <w:i/>
          <w:iCs/>
          <w:sz w:val="16"/>
          <w:szCs w:val="16"/>
          <w:lang w:eastAsia="pl-PL"/>
        </w:rPr>
        <w:t>(wielkość, zakres, rodzaj i ilość dostaw, usług lub robót budowlanych lub określenie zapotrzebowania i wymagań )</w:t>
      </w:r>
      <w:r w:rsidRPr="00BF6DD5">
        <w:rPr>
          <w:rFonts w:ascii="Tahoma" w:eastAsia="Times New Roman" w:hAnsi="Tahoma" w:cs="Tahoma"/>
          <w:b/>
          <w:bCs/>
          <w:sz w:val="16"/>
          <w:szCs w:val="16"/>
          <w:lang w:eastAsia="pl-PL"/>
        </w:rPr>
        <w:t> a w przypadku partnerstwa innowacyjnego - określenie zapotrzebowania na innowacyjny produkt, usługę lub roboty budowlane: </w:t>
      </w:r>
      <w:r w:rsidRPr="00BF6DD5">
        <w:rPr>
          <w:rFonts w:ascii="Tahoma" w:eastAsia="Times New Roman" w:hAnsi="Tahoma" w:cs="Tahoma"/>
          <w:sz w:val="16"/>
          <w:szCs w:val="16"/>
          <w:lang w:eastAsia="pl-PL"/>
        </w:rPr>
        <w:t xml:space="preserve">1. Przedmiotem zamówienia jest świadczenie usługi odbierania i transportu odpadów komunalnych z nieruchomości zamieszkałych położonych na terenie Gminy Tryńcza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2016 r. poz. 250 z </w:t>
      </w:r>
      <w:proofErr w:type="spellStart"/>
      <w:r w:rsidRPr="00BF6DD5">
        <w:rPr>
          <w:rFonts w:ascii="Tahoma" w:eastAsia="Times New Roman" w:hAnsi="Tahoma" w:cs="Tahoma"/>
          <w:sz w:val="16"/>
          <w:szCs w:val="16"/>
          <w:lang w:eastAsia="pl-PL"/>
        </w:rPr>
        <w:t>póź</w:t>
      </w:r>
      <w:proofErr w:type="spellEnd"/>
      <w:r w:rsidRPr="00BF6DD5">
        <w:rPr>
          <w:rFonts w:ascii="Tahoma" w:eastAsia="Times New Roman" w:hAnsi="Tahoma" w:cs="Tahoma"/>
          <w:sz w:val="16"/>
          <w:szCs w:val="16"/>
          <w:lang w:eastAsia="pl-PL"/>
        </w:rPr>
        <w:t xml:space="preserve">. zm.), zapisami Planu Gospodarki Odpadami dla Województwa Podkarpackiego, przyjętego Uchwałą Nr XXIV/409/12 z dnia 27 sierpnia 2012r. z późniejszymi zmianami oraz Regulaminem utrzymania czystości i porządku na terenie Gminy Tryńcza przyjętego Uchwałą Nr XV/158/2016 Rady Gminy Tryńcza z dnia 20 maja 2016 roku oraz Uchwałą Nr XIX/200/2016 Rady Gminy Tryńcza z dnia 8 listopada 2016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Zakres usługi obejmuje: 1.1. Odbiór posegregowanych i zmieszanych odpadów komunalnych od właścicieli nieruchomości z terenu Gminy Tryńcza z częstotliwością co najmniej jeden raz w miesiącu; 1.2. Wywóz odpadów komunalnych z Punktu Selektywnej Zbiórki Odpadów Komunalnych; 1.3. Przeprowadzenie co najmniej jednej zbiórki odpadów wielkogabarytowych, sprzętu elektrycznego i elektronicznego, zużytych opon i innych odpadów w formie objazdowej; 1.4. Transport posegregowanych i zmieszanych odpadów komunalnych do Regionalnej Instalacji Przetwarzania Odpadów Komunalnych w Giedlarowej; 1.5. Transport i zagospodarowanie odpadów zielonych i odpadów biodegradowalnych bezpośrednio do Regionalnej Instalacji Przetwarzania Odpadów Komunalnych właściwej dla Regionu Północnego zgodnie z Planem Gospodarki Odpadami dla Województwa Podkarpackiego; 1.6. Zapewnienie dla każdej z miejscowości wchodzących w skład Gminy Tryńcza po 2 stanowiska (łącznie 18 stanowisk) do zbiórki odpadów szkła kolorowego i białego o pojemności od 1,5 m3 do 2,5 m3 tzn. „dzwonki”. 1.7. Zapewnienie mieszkańcom gminy pełnego zestawu worków na odpady na warunkach opisanych w dalszej części specyfikacji. 2. Charakterystyka Gminy Tryńcza: Gmina Tryńcza jest gminą wiejską położoną w województwie podkarpackim, powiecie przeworskim. a) Powierzchnia gminy wynosi – 70,56 km2. b) Liczba mieszkańców wg złożonych deklaracji o wysokości opłaty za gospodarowanie odpadami komunalnymi – 6 599 (stan na 31.10.2016 r.). c) Liczba mieszkańców wg ewidencji ludności Urzędu Gminy Tryńcza – 8 532 (stan na 31.10.2016 r.). d) Mieszkańcy zamieszkują ok. 2 035 gospodarstw domowych. e) Liczba gospodarstw ze zdeklarowaną selektywną zbiórką odpadów komunalnych – 1 997. f) Liczba gospodarstw ze zdeklarowaną nieselektywną zbiórką odpadów komunalnych – 38. g) Gmina Tryńcza liczy 9 sołectw tj. Gniewczyna Łańcucka, Gniewczyna Tryniecka, Jagiełła, Gorzyce, Ubieszyn, Tryńcza, Głogowiec, Wólka Małkowa, Wólka Ogryzkowa. 3. Szacunkowa ilość wytworzonych odpadów: Szacunkowa ilość wytworzonych odpadów w okresie od 01.01. - 31.12.2017 r. wynosi 1 000 Mg i jest wartością orientacyjną. Na terenie gminy występuje 2 035 gospodarstw domowych a przybliżona długość trasy pojazdu odbierającego odpady to około 230 km. Przewidywana liczba osób objętych systemem gospodarowania odpadami w gminie Tryńcza to około 7 000 tys. mieszkańców. 4. Szczegółowe wymagania stawiane przedsiębiorcom odbierającym odpady komunalne od właścicieli nieruchomości: 1) Usługa odbierania odpadów komunalnych od właścicieli nieruchomości zamieszkałych na terenie Gminy Tryńcza, obejmuje: a) Niesegregowane (zmieszane) odpady komunalne. b) Selektywnie odbierane odpady komunalne (zgodnie z obowiązującym w czasie trwania umowy Regulaminem utrzymania czystości i porządku na terenie Gminy Tryńcza) następujących frakcji odpadów: -papier, -metale, -tworzywa sztuczne, -szkło, -opakowania wielomateriałowe, -tekstylia, -odpady ulegające biodegradacji w tym odpady opakowaniowe ulegające biodegradacji, -odpady zielone, -przeterminowane leki i chemikalia, -zużyte baterie i akumulatory, -zużyty sprzęt elektryczny i elektroniczny, -meble i inne odpady wielkogabarytowe, -odpady budowlane i rozbiórkowe, -zużyte opony, -szkło okienne, -zimne popioły, -styropiany budowlane i opakowaniowe. c) Odbiór w/w odpadów komunalnych z pojemników lub w workach na odpady komunalne, transport odpadów do Regionalnej Instalacji Przetwarzania Odpadów Komunalnych w miejscowości Giedlarowa, 37-300 Leżajsk zgodnie z zawartym pomiędzy Gminą Leżajsk a Gminą Tryńcza porozumieniem międzygminnym zawartym w dniu 2 lutego 2013 roku oraz umową nr UG.RMOS.6232.97-1.2013 na zagospodarowanie odpadów komunalnych zawartą pomiędzy Gminą Leżajsk a Starym Miastem-Park Sp. z o. o. przy udziale Gminy Tryńcza. d) Opis przeznaczenia poszczególnych worów w podziale na kolory i rodzaj odpadów: - kolor biały – szkło (białe i kolorowe), - kolor niebieski – makulatura (papier i tektura), - kolor żółty – tworzywa sztuczne, drobne metale, opakowania wielomateriałowe, - kolor brązowy – odpady ulegające biodegradacji z wyłączeniem odpadów zielonych, - kolor czarny – odpady niesegregowane (zmieszane). e) Worki na odpady komunalne przekazywane przez Wykonawcę mieszkańcom, winny zawierać napis określający frakcje odpadów, dla których są przeznaczone. f) Wykonawca udostępni komplet worków do gromadzenia odpadów w sposób selektywny i zmieszany, które będą przekazane mieszkańcom gminy przy pierwszym odbiorze odpadów </w:t>
      </w:r>
      <w:r w:rsidRPr="00BF6DD5">
        <w:rPr>
          <w:rFonts w:ascii="Tahoma" w:eastAsia="Times New Roman" w:hAnsi="Tahoma" w:cs="Tahoma"/>
          <w:sz w:val="16"/>
          <w:szCs w:val="16"/>
          <w:lang w:eastAsia="pl-PL"/>
        </w:rPr>
        <w:lastRenderedPageBreak/>
        <w:t xml:space="preserve">komunalnych. Przez komplet worków rozumie się 1 worek w kolorze żółtym na tworzywa sztuczne, metale, opakowania wielomateriałowe, 1 worek w kolorze niebieskim na papier i makulaturę, 1 worek w kolorze białym na szkło kolorowe i bezbarwne, 1 worek w kolorze brązowym na odpady ulegające biodegradacji z wyłączeniem odpadów zielonych oraz 1 worek w kolorze czarnym na odpady niesegregowane (zmieszane). Wykonawca umożliwi odbiór dodatkowych worków w punktach dystrybucji ustalonych z Zamawiającym zlokalizowanych w każdej z miejscowości Gminy Tryńcza. g) Uzupełnienie po każdorazowym odbiorze właścicielom nieruchomości worków do selektywnego i nieselektywnego zbierania odpadów poprzez pozostawieniu ich przy wejściu na nieruchomość nowych worków w ilości odpowiadającej liczbie odebranych worków. h) Wykonawca jest zobowiązany do sukcesywnego przekazania worków na odpady segregowane każdego rodzaju i niesegregowane (zmieszane) w ilości 1 600 szt. przez cały okres obowiązywania umowy. Worki powinny być dostarczane na każde zgłoszenie Zamawiającego. Zamawiający potwierdzi odbiór dostarczonych worków. 2) Organizacja oraz częstotliwość odbioru odpadów komunalnych od właścicieli nieruchomości: a) Odbiór selektywnych i zmieszanych odpadów komunalnych zgromadzonych przez właścicieli nieruchomości w pojemnikach i workach następować będzie zgodnie z przyjętym na cały rok z góry i zatwierdzonym przez Zamawiającego harmonogramem odbioru odpadów. b) Harmonogram musi być sporządzony w sposób zapewniający ciągłość odbioru obowiązującego w dniu przystąpienia do realizacji umowy. c) Propozycja harmonogramu zostanie przedstawiona przez Wykonawcę Zamawiającemu w terminie 3 dni od dnia podpisania umowy, odbiór odpadów ustalony jest z częstotliwością co najmniej jeden raz w miesiącu. Zamawiający przekaże uwagi dot. przedstawionego harmonogramu w terminie 7 dni od dnia przekazania Zamawiającemu a Wykonawca uwzględni je w ostatecznej wersji harmonogramu. Zatwierdzony harmonogram zostanie wydrukowany i przekazany przez Wykonawcę do mieszkańców. Koszt wydruku harmonogramu poniesie Wykonawca. Przewiduje się 1 egzemplarz dla każdej osoby będącej właścicielem w rozumieniu Ustawy o utrzymaniu czystości i porządku w gminach. d) Harmonogram powinien być sformułowany w sposób przejrzysty, jasny, pozwalający na szybkie zorientowanie się co do konkretnych dat odbierania odpadów, jak też regularność i powtarzalność odbierania odpadów poszczególnych rodzajów. Nie powinien zawierać żadnych dodatkowych treści ponad informację związane z wykonaniem zamówienia, w szczególności reklam, informacji propagandowych. e) Wykonawca opracuje instrukcję segregacji odpadów, a po akceptacji jej treści przez Zamawiającego, wydrukuje ją razem z harmonogramem zbiórki odpadów oraz dostarczy do każdej nieruchomości zamieszkałej na terenie gminy Tryńcza w terminie do dnia 31 stycznia 2017 r. f) Wykonawca jest zobowiązany do odbierania odpadów komunalnych w terminach wynikających z przyjętego harmonogramu odpadów niezależnie od warunków atmosferycznych, pojazdami przystosowanymi do odbierania poszczególnych frakcji odpadów w sposób wykluczający ich mieszanie się. g) Wykonawca zapewni dla każdej z miejscowości wchodzących w skład Gminy Tryńcza po 2 stanowiska (łącznie 18 stanowisk) do zbiórki odpadów szkła kolorowego i białego o pojemności od 1,5 m3 do 2,5 m3 tzn. „dzwonki”. Rozmieszczenie stanowisk nastąpi po uzgodnieniu z Zamawiającym oraz zostanie potwierdzone spisem miejsc w formie dokumentu, który sporządzi Wykonawca i przekaże Zamawiającemu w terminie 1 miesiąca od dnia podpisania umowy. Opróżnianie w/w stanowisk obywać będzie się po telefonicznym zgłoszeniu o przepełnieniu pojemnika nie rzadziej jednak niż raz na kwartał. h) Odbiór odpadów wielkogabarytowych, zużytego sprzętu elektrycznego i elektronicznego, zużytych opon, zużytych baterii i akumulatorów ustala się na co najmniej raz w roku w porze letniej (lipiec/sierpień) z wcześniejszym uzgodnieniem terminu z Zamawiającym. Przygotowanie kampanii informacyjnej o zbiórce leży w gestii Wykonawcy, który za porozumieniem z Zamawiającym wywiesi informacje na tablicach ogłoszeń na terenie gminy Tryńcza oraz umieści je na własnej stronie internetowej. 3) Odbiór i transport odpadów prowadzony będzie według następujących zasad: a) Wykonawca zobowiązany jest do odbierania odpadów komunalnych w sposób, który zapewni odpowiedni stan sanitarny poprzez zapobieganie wysypywaniu się odpadów z pojemników i worków w czasie odbioru i transportu, a w przypadku wysypania – obowiązany jest do natychmiastowego uprzątnięcia odpadów oraz skutków ich wysypania (plamy, zabrudzenia itp.). b) Zakazuje się Wykonawcy mieszania selektywnie zebranych odpadów komunalnych ze zmieszanymi odpadami komunalnymi lub selektywnie zebranymi odpadami różnych rodzajów ze sobą oraz odbierania poszczególnych rodzajów odpadów odebranych selektywnie jednym transportem. c) Wykonawca sprawdzi losowo lecz nie mniej niż 5 na 100 gospodarstw domowych, worki na odpady selektywne pod kątem rzetelności i poprawności segregacji odpadów zgodnie z deklaracją składaną przez właścicieli nieruchomości. Wykonawca zobowiązany jest do odbioru wszystkich odpadów zmieszanych oraz selektywnie zebranych. W przypadku stwierdzenia niewłaściwej segregacji Wykonawca przyjmie te odpady, jako zmieszane i powiadomi o tym gminę zgodnie z art. 9f ustawy o utrzymaniu czystości i porządku w gminach. Wykonawca przed zakwalifikowaniem odpadów segregowanych do zmieszanych w wypadku niedopełnienia przez właściciela nieruchomości obowiązku w zakresie selektywnego zbierania odpadów komunalnych, sporządza na tą okoliczność protokół z dokumentacją fotograficzną na poziomie umożliwiającym wydanie przez Zamawiającego decyzji administracyjnej naliczającej zmianę wysokości opłaty. W/w dokumentację Wykonawca przekazuje Zamawiającemu w terminie 7 dni. Informacja powinna zawierać w szczególności: - adres nieruchomości, na której odpady gromadzone są w sposób niezgodny z Regulaminem utrzymania czystości i porządku na terenie Gminy Tryńcza, - zdjęcia w postaci cyfrowej dowodzące, że odpady gromadzone są w sposób niewłaściwy; zdjęcia muszą zostać wykonane w taki sposób, aby nie budząc wątpliwości pozwalały na przypisanie pojemników i/lub worków do konkretnej nieruchomości, - dane pracowników Wykonawcy, którzy stwierdzili fakt niezgodnego z regulaminem postępowania z odpadami komunalnymi oraz ewentualne oświadczenia przez nich spisane. Uchylanie się od obowiązku zgłaszania Zamawiającemu informacji dotyczącej zaistniałej nieprawidłowości w sposobie segregacji odpadów będzie stanowić naruszenie postanowień umowy. d) Wykonawca zorganizuje odbiór i transport odpadów, również w przypadkach, kiedy dojazd do punktów zbiórki odpadów komunalnych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 e) Wykonawca zobowiązany jest do dotarcia do każdej nieruchomości, położonej na terenie Gminy Tryńcza, w terminie określonym w harmonogramie. Ustala się, iż odbiór odpadów komunalnych odbywać się będzie w odległości maksymalnie do 10 m od trasy przejazdu. Orientacyjną trasę przejazdu przedstawia Załącznik Nr 6 do SIWZ. f) Wykonawca przed złożeniem oferty, jeśli uzna to za konieczne, może zapoznać się z przewidywaną trasą przejazdu. g) W razie awarii pojazdu specjalistycznego do zbiórki odpadów Wykonawca zobowiązany jest zapewnić pojazd zastępczy odpowiednio przystosowany do zbiórki odpadów. h) Pojazdy powinny być w pełni sprawne, posiadać aktualne badania techniczne, być dopuszczone do ruchu drogowego oraz oznakowane widoczną nazwą przedsiębiorcy i numerem jego telefonu. i) Odpady komunalne selektywne i zmieszane Wykonawca odbierać będzie w ilości, w jakiej pozbywać się ich będą właściciele nieruchomości. j) Jeżeli w toku realizacji zamówienia nastąpi uszkodzenie lub zniszczenie pojemników wynikłe z winy Wykonawcy, ich naprawa i doprowadzenie do stanu poprzedniego leży w gestii Wykonawcy. k) Wykonawca zapewni, aby odbiór odpadów komunalnych dokonywany był przez osoby wyposażone w jednolite, estetyczne ubrania robocze z wyraźnym oznaczeniem nazwy firmy Wykonawcy. l) Odbieranie zgromadzonych mebli i </w:t>
      </w:r>
      <w:r w:rsidRPr="00BF6DD5">
        <w:rPr>
          <w:rFonts w:ascii="Tahoma" w:eastAsia="Times New Roman" w:hAnsi="Tahoma" w:cs="Tahoma"/>
          <w:sz w:val="16"/>
          <w:szCs w:val="16"/>
          <w:lang w:eastAsia="pl-PL"/>
        </w:rPr>
        <w:lastRenderedPageBreak/>
        <w:t xml:space="preserve">innych odpadów wielkogabarytowych, zużytych opon, zużytego sprzętu elektrycznego i elektronicznego, przeterminowanych leków, chemikaliów, zużytych baterii i akumulatorów, odpadów budowlanych i rozbiórkowych, zimnych popiołów, odpadów zielonych, odpadów komunalnych ulegających biodegradacji, w tym odpadów opakowaniowych ulegających biodegradacji, będzie następować z gminnego Punktu Selektywnej Zbiórki Odpadów Komunalnych po zgłoszeniu telefonicznym o napełnionych pojemnikach, lecz nie rzadziej niż raz na kwartał. m) Wykonawca jest zobowiązany do realizacji usług w sposób zgodny z prawem, ograniczający do minimum utrudnienia w ruchu drogowym oraz niedogodności dla mieszkańców, zgodnie z obowiązującymi przepisami o ruchu drogowym. n) Wykonawca zobowiązany jest zapewnić kontakt telefoniczny co najmniej w godzinach od 7.00 do 15.30 celem nadzorowania przez Zamawiającego sprawności odbierania odpadów na terenie gminy. o) Wykonawca jest zobowiązany do bieżącego przekazywania adresów nieruchomości, na których stale zamieszkują mieszkańcy, a które nie ujęto w bazie danych prowadzonej przez Zamawiającego (wykazie). p) Zamawiający jest zobowiązany do bieżącego przekazywania nowo dodanych adresów nieruchomości z których będą odbierane odpady komunalne, drogą e-mailową na wskazany przez Wykonawcę adres e-mail. q) Wykonawca zdaje odpady komunalne do Regionalnej Instalacji Przetwarzania Odpadów Komunalnych w Giedlarowej, natomiast odpady zielone i odpady biodegradowalne Wykonawca zobowiązany jest przekazać do Regionalnej Instalacji Przetwarzania Odpadów Komunalnych właściwej dla Regionu Północnego zgodnie z wytycznymi WPGO dla Województwa Podkarpackiego. Fakt ten udokumentowany zostanie poprzez przedstawienie Zamawiającemu raz w miesiącu dokumentów potwierdzających odebranie odpadów. Karta przekazania odpadów przedkładana będzie w formie kopii potwierdzonej za zgodnością z treścią oryginału. Zagospodarowanie odpadów nie stanowi przedmiotu umowy. Koszt związany z zagospodarowaniem odpadów ponosi Zamawiający na podstawie porozumienia międzygminnego zawartego z Gminą Leżajsk. r) Zaleca się dokonanie wizji lokalnej w miejscu realizacji przedmiotu zamówienia, celem oszacowania na własną odpowiedzialność kosztów i ryzyka wykonania zamówienia oraz uzyskanie wszelkich danych jakie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nie powodujący niszczenia dróg. s) 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 4) Obowiązek prowadzenia dokumentacji związanej z działalnością objętą zamówieniem: a) Wykonawca będzie zobowiązany do dostarczenia Zamawiającemu w wersji papierowej sprawozdań półrocznych o których mowa w art. 9 n ustawy o utrzymaniu czystości i porządku w gminach. Sprawozdania powinny być sporządzone zgodnie z Rozporządzeniem Ministra Środowiska z dnia 17 czerwca 2016 r. w sprawie wzorów sprawozdań o odebranych i zebranych odpadach komunalnych, odebranych nieczystościach ciekłych oraz realizacji zadań z zakresu gospodarki odpadami komunalnymi (Dz. U. z 2016 r. poz. 934) i przekazywał Zamawiającemu w terminie do końca miesiąca następującego po półroczu, którego dotyczy. b) Miesięczny raport z systemu GPS zamontowanego w pojeździe przeznaczonym do zbierania odpadów dokumentującego przebieg pracy na terenie gminy Tryńcza w zakresie: tras przejazdu każdego z pojazdów, miejsc zatrzymania pojazdów, a także momentów odbiorów z posesji i wyładunku odpadów, który Wykonawca zobowiązany jest udostępnić na pisemny wniosek Zamawiającego. Powyższe dane Wykonawca zobowiązany jest przechowywać przez cały okres obowiązywania umowy. c) 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informacji w posiadaniu, których będzie Wykonawca a nie Zamawiający. d) Wykonawca zobowiązany jest do przekazywania Zamawiającemu miesięcznych raportów zawierających informacje: -o masie poszczególnych rodzajów odebranych odpadów komunalnych, -wyszczególnienie miejsca odbioru odpadów, -sposobach zagospodarowania odpadów ze wskazaniem instalacji do których zostały przekazane, w terminie nie później jak do 15 dnia następnego miesiąca. Strony raportu powinny być ponumerowane, połączone ze sobą w sposób uniemożliwiający dekompletację. 5. Standard sanitarny wykonywania usług oraz ochrony środowiska: a) Usługę polegającą na odebraniu odpadów komunalnych z terenu gminy Wykonawca zobowiązany jest wykonywać z zachowaniem standardów sanitarnych wykonywania tych usług, w szczególności poprzez zachowanie i przestrzeganie przepisów o ochronie środowiska, zachowanie najwyższych jakościowo osiągnięć techniki i technologii. Przede wszystkim Wykonawca zobowiązany jest do: -zapobiegania wysypywaniu się odpadów z pojemników i worków podczas odbioru i załadunku, -zapobiegania zanieczyszczeniu drogi przejazdu podczas transportu odpadów, -zbierania odpadów leżących wokół pojemników (czyli nie dalej niż 2,0 m od pojemników), tak by pozostawić miejsca gromadzenia odpadów w czystości. Wykonawca zobowiązany jest zbierać odpady leżące wokół pojemników oraz jeżeli rozsypią się w trakcie opróżniania pojemników, -transportowania odpadów pojazdami, których konstrukcja będzie zabezpieczała przed wysypywaniem, rozwiewaniem i rozpylaniem przewożonych odpadów oraz minimalizowała oddziaływanie czynników atmosferycznych na odpady, -stosowanie procesów i metod, które nie są szkodliwe dla środowiska. 6. Wymagania dotyczące posiadanych pojazdów, urządzeń oraz bazy magazynowo transportowej a) Wykonawca odbierający odpady komunalne od właścicieli nieruchomości jest obowiązany dysponować bazą magazynowo transportową. b) Usytuowanie i wyposażenie bazy magazynowo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 roku, poz. 122). c) Wykonawca zobowiązany jest przez cały okres obowiązywania umowy dysponować pojazdami w ilości niezbędnej do prawidłowej realizacji umowy, przystosowanymi do odbierania poszczególnych frakcji odpadów, w sposób wykluczający mieszanie się odpadów. Wykonawca zobowiązany jest do świadczenia usługi pojazdami zarejestrowanymi, posiadającymi aktualne ubezpieczenie OC, badania techniczne i świadectwa dopuszczenia do ruchu zgodnie z przepisami o ruchu drogowym. d) Wielkość i rodzaj samochodów odbierających odpady należy dostosować do rodzaju odbieranych odpadów oraz terenu, z którego będą one odbierane. 7. Obowiązki Wykonawcy związane z umożliwieniem kontroli przez Zamawiającego a) Wykonawca ma obowiązek umożliwić każdorazowo na żądanie Zamawiającego uczestniczenie w przejeździe pojazdem odbierającym odpady podczas odbioru odpadów (od chwili wyjazdu z bazy magazynowo transportowej do chwili wyładunku odpadów na instalacji), a w przypadku braku możliwości przejazdu pojazdem odbierającym odpady pracownik Zamawiającego będzie poruszał się samochodem osobowym Zamawiającego za pojazdem odbierającym odpady. b) Wykonawca zobowiązuje się do przekazania na żądanie Zamawiającego wszelkich dokumentów potwierdzających wykonanie przedmiotu umowy zgodnie z </w:t>
      </w:r>
      <w:r w:rsidRPr="00BF6DD5">
        <w:rPr>
          <w:rFonts w:ascii="Tahoma" w:eastAsia="Times New Roman" w:hAnsi="Tahoma" w:cs="Tahoma"/>
          <w:sz w:val="16"/>
          <w:szCs w:val="16"/>
          <w:lang w:eastAsia="pl-PL"/>
        </w:rPr>
        <w:lastRenderedPageBreak/>
        <w:t xml:space="preserve">określonymi przez Zamawiającego wymogami i przepisami prawa. W szczególności Zamawiający zastrzega sobie prawo do przeprowadzenia niezapowiedzianych kontroli w terenie, związanych z prawidłowym wykonaniem przedmiotu zamówienia w obecności pracownika Wykonawcy. Wybór miejsca przeprowadzenia kontroli będzie uzależniony od obowiązującego harmonogramu odbioru odpadów. c) Wykonawca zobowiązuje się do przekazania na żądanie w terminie 3 dni od dnia zgłoszenia danych ilościowych i graficznych przebiegu trasy odbioru odpadów komunalnych. 8. Skargi, reklamacje, wyjaśnienia a) Wszelakie uwagi zgłaszane przez mieszkańców do Zamawiającego będą niezwłocznie przekazywanej Wykonawcy telefonicznie i/lub za pośrednictwem poczty elektronicznej. Wykonawca jest zobowiązany do udzielenia odpowiedzi i wyjaśnień w terminie 2 dni od dnia zgłoszenia o sposobie załatwienia sprawy telefonicznie i/lub za pośrednictwem poczty elektronicznej. 9. Wymagania formalne 1) Wykonawca obowiązany jest w dniu podpisania umowy oraz przez cały okres realizacji przedmiotu zamówienia do spełnienia następujących wymagań: a) Posiadać wpis do rejestru działalności regulowanej, o którym mowa w art. 9b i 9c ustawy z dnia 13 września 1996 r. o utrzymaniu czystości i porządku w gminach, prowadzonego przez Wójta Gminy Tryńcza, w zakresie objętym przedmiotem zamówienia. b) Posiadać zawartą umowę z regionalną instalacją do przetwarzania odpadów komunalnych bądź zastępczymi instalacjami przewidzianymi do obsługi Regionu Północnego zgodnie z Planem Gospodarki Odpadami dla Województwa Podkarpackiego na przyjmowanie zmieszanych odpadów komunalnych, odpadów z pielęgnacji terenów zielonych oraz pozostałości z sortowania odpadów komunalnych przeznaczonych do składowania. c) Posiadać wymagane ustawą z dnia 14 grudnia 2012 roku o odpadach zezwolenia w zakresie niezbędnym do gospodarowania odpadami. d) Posiadać podpisane umowy z Podwykonawcami jeżeli zamierza korzystać z usług Podwykonawców. e) W przypadku powierzania niektórych zadań Podwykonawcom, również oni winni posiadać wymagane przepisami prawa stosowane zezwolenia, wpisy, itp. dotyczące zakresu wykonywanych przez nich usług. 10. Zamawiający wymaga na podstawie art. 29 ust. 3a ustawy Prawo zamówień publicznych zatrudnienia przez wykonawcę lub podwykonawcę na podstawie umowy o pracę osób wykonujących czynności w zakresie realizacji zamówienia, jeżeli wykonywanie tych czynności polega na wykonywaniu pracy w sposób określony w art. 22 § 1 ustawy z dnia 26 czerwca 1974 r. Kodeks pracy ( </w:t>
      </w:r>
      <w:proofErr w:type="spellStart"/>
      <w:r w:rsidRPr="00BF6DD5">
        <w:rPr>
          <w:rFonts w:ascii="Tahoma" w:eastAsia="Times New Roman" w:hAnsi="Tahoma" w:cs="Tahoma"/>
          <w:sz w:val="16"/>
          <w:szCs w:val="16"/>
          <w:lang w:eastAsia="pl-PL"/>
        </w:rPr>
        <w:t>Dz.U</w:t>
      </w:r>
      <w:proofErr w:type="spellEnd"/>
      <w:r w:rsidRPr="00BF6DD5">
        <w:rPr>
          <w:rFonts w:ascii="Tahoma" w:eastAsia="Times New Roman" w:hAnsi="Tahoma" w:cs="Tahoma"/>
          <w:sz w:val="16"/>
          <w:szCs w:val="16"/>
          <w:lang w:eastAsia="pl-PL"/>
        </w:rPr>
        <w:t xml:space="preserve">. z 2014 r. poz. 1502 z </w:t>
      </w:r>
      <w:proofErr w:type="spellStart"/>
      <w:r w:rsidRPr="00BF6DD5">
        <w:rPr>
          <w:rFonts w:ascii="Tahoma" w:eastAsia="Times New Roman" w:hAnsi="Tahoma" w:cs="Tahoma"/>
          <w:sz w:val="16"/>
          <w:szCs w:val="16"/>
          <w:lang w:eastAsia="pl-PL"/>
        </w:rPr>
        <w:t>póź</w:t>
      </w:r>
      <w:proofErr w:type="spellEnd"/>
      <w:r w:rsidRPr="00BF6DD5">
        <w:rPr>
          <w:rFonts w:ascii="Tahoma" w:eastAsia="Times New Roman" w:hAnsi="Tahoma" w:cs="Tahoma"/>
          <w:sz w:val="16"/>
          <w:szCs w:val="16"/>
          <w:lang w:eastAsia="pl-PL"/>
        </w:rPr>
        <w:t>. zm. ). 1) Zamawiający wymaga zatrudnienia na podstawie umowy o pracę przez wykonawcę lub podwykonawcę osób wykonujących wskazane poniżej czynności w trakcie realizacji zamówienia: - operator śmieciarki (kierowca); - ładowacz nieczystości stałych. 2) W trakcie realizacji zamówienia zamawiający uprawniony jest do wykonywania czynności kontrolnych wobec wykonawcy odnośnie spełniania przez wykonawcę lub podwykonawcę wymogu zatrudnienia na podstawie umowy o pracę osób wykonujących wskazane w punkcie 10.1.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10.1.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10.1.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10.1. czynności. 5) W przypadku uzasadnionych wątpliwości co do przestrzegania prawa pracy przez Wykonawcę lub Podwykonawcę, Zamawiający może zwrócić się o przeprowadzenie kontroli przez Państwową Inspekcję Pracy. 11. Przedmiot zamówienia należy realizować zgodnie z wymaganiami prawnymi określonymi w: -Dyrektywie Parlamentu Europejskiego i Rady 2008/98/WE z dnia 19 listopada 2008r. w sprawie odpadów oraz uchylającej niektóre dyrektywy (Dz.U.UE.L2008.312.3), -Ustawie z dnia 13 września 1996r. o utrzymaniu czystości i porządku w gminach (t. j. Dz. U. z 2016r. poz. 250), -Rozporządzeniu Ministra Środowiska z dnia 17 czerwca 2016r. w sprawie wzorów sprawozdań o odebranych i zebranych odpadach komunalnych, odebranych nieczystościach ciekłych oraz realizacji zadań z zakresu gospodarki odpadami komunalnymi (Dz. U. z 2016r. poz. 934), -Rozporządzeniu Ministra Środowiska z dnia 29 maja 2012r. w sprawie poziomów recyklingu, przygotowania do ponownego użycia i odzysku innymi metodami niektórych frakcji odpadów komunalnych (Dz. U. z 2012r. poz. 645), -Rozporządzenia Ministra Środowiska z dnia 25 maja 2012r. w sprawie poziomów ograniczenia masy odpadów komunalnych ulegających biodegradacji przekazanych do składowania oraz sposobu obliczania poziomu ograniczania masy tych odpadów (Dz. U. z 2012r. poz.676), -Uchwałą Nr XXIV/409/12 Sejmiku Województwa Podkarpackiego z dnia 27 sierpnia 2012r. w sprawie Planu Gospodarki Odpadami dla Województwa Podkarpackiego z późniejszymi zmianami, -Uchwała Nr XV/158/2016 Rady Gminy Tryńcza z dnia 20 maja 2016 r. w sprawie Regulaminu utrzymania czystości i porządku na terenie Gminy Tryńcza, -Uchwała Nr XIX/200/2016 Rady Gminy Tryńcza z dnia 8 listopada 2016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-Rozporządzenia Ministra Środowiska z dnia 11 stycznia 2013r. w sprawie szczegółowych wymagań w zakresie odbierania odpadów komunalnych od właścicieli nieruchomości (Dz. U. z 2013r. poz. 122), -Ustawą z dnia 27 kwietnia 2001r. Prawo ochrony środowiska (Dz. U. z 2016r. poz. 672 ze zm.), -Ustawą z dnia 14 grudnia 2012r. o odpadach (Dz. U. z 2013r. poz. 21 ze zm.), -Rozporządzenie Ministra Środowiska z dnia 9 grudnia 2014 roku w sprawie katalogu odpadów (Dz. U. z 2014r. poz. 1923), -Rozporządzenia Ministra Środowiska z dnia 16 czerwca 2009r. w sprawie bezpieczeństwa i higieny pracy przy gospodarowaniu odpadami komunalnymi (Dz. U. z 2009r. Nr 104, poz. 868).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II.5) Główny kod CPV: </w:t>
      </w:r>
      <w:r w:rsidRPr="00BF6DD5">
        <w:rPr>
          <w:rFonts w:ascii="Tahoma" w:eastAsia="Times New Roman" w:hAnsi="Tahoma" w:cs="Tahoma"/>
          <w:sz w:val="16"/>
          <w:szCs w:val="16"/>
          <w:lang w:eastAsia="pl-PL"/>
        </w:rPr>
        <w:t>90511000-2</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Dodatkowe kody CPV:</w:t>
      </w:r>
      <w:r w:rsidRPr="00BF6DD5">
        <w:rPr>
          <w:rFonts w:ascii="Tahoma" w:eastAsia="Times New Roman" w:hAnsi="Tahoma" w:cs="Tahoma"/>
          <w:sz w:val="16"/>
          <w:szCs w:val="16"/>
          <w:lang w:eastAsia="pl-PL"/>
        </w:rPr>
        <w:t>90500000-2, 90533000-2, 90514000-3, 90512000-9, 90513100-7</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II.6) Całkowita wartość zamówienia </w:t>
      </w:r>
      <w:r w:rsidRPr="00BF6DD5">
        <w:rPr>
          <w:rFonts w:ascii="Tahoma" w:eastAsia="Times New Roman" w:hAnsi="Tahoma" w:cs="Tahoma"/>
          <w:i/>
          <w:iCs/>
          <w:sz w:val="16"/>
          <w:szCs w:val="16"/>
          <w:lang w:eastAsia="pl-PL"/>
        </w:rPr>
        <w:t>(jeżeli zamawiający podaje informacje o wartości zamówienia)</w:t>
      </w:r>
      <w:r w:rsidRPr="00BF6DD5">
        <w:rPr>
          <w:rFonts w:ascii="Tahoma" w:eastAsia="Times New Roman" w:hAnsi="Tahoma" w:cs="Tahoma"/>
          <w:sz w:val="16"/>
          <w:szCs w:val="16"/>
          <w:lang w:eastAsia="pl-PL"/>
        </w:rPr>
        <w:t>: </w:t>
      </w:r>
      <w:r w:rsidRPr="00BF6DD5">
        <w:rPr>
          <w:rFonts w:ascii="Tahoma" w:eastAsia="Times New Roman" w:hAnsi="Tahoma" w:cs="Tahoma"/>
          <w:sz w:val="16"/>
          <w:szCs w:val="16"/>
          <w:lang w:eastAsia="pl-PL"/>
        </w:rPr>
        <w:br/>
        <w:t>Wartość bez VAT: </w:t>
      </w:r>
      <w:r w:rsidRPr="00BF6DD5">
        <w:rPr>
          <w:rFonts w:ascii="Tahoma" w:eastAsia="Times New Roman" w:hAnsi="Tahoma" w:cs="Tahoma"/>
          <w:sz w:val="16"/>
          <w:szCs w:val="16"/>
          <w:lang w:eastAsia="pl-PL"/>
        </w:rPr>
        <w:br/>
        <w:t>Waluta: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lastRenderedPageBreak/>
        <w:br/>
      </w:r>
      <w:r w:rsidRPr="00BF6DD5">
        <w:rPr>
          <w:rFonts w:ascii="Tahoma" w:eastAsia="Times New Roman" w:hAnsi="Tahoma" w:cs="Tahoma"/>
          <w:i/>
          <w:iCs/>
          <w:sz w:val="16"/>
          <w:szCs w:val="16"/>
          <w:lang w:eastAsia="pl-PL"/>
        </w:rPr>
        <w:t>(w przypadku umów ramowych lub dynamicznego systemu zakupów – szacunkowa całkowita maksymalna wartość w całym okresie obowiązywania umowy ramowej lub dynamicznego systemu zakupów)</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 xml:space="preserve">II.7) Czy przewiduje się udzielenie zamówień, o których mowa w art. 67 ust. 1 pkt 6 i 7 lub w art. 134 ust. 6 pkt 3 ustawy </w:t>
      </w:r>
      <w:proofErr w:type="spellStart"/>
      <w:r w:rsidRPr="00BF6DD5">
        <w:rPr>
          <w:rFonts w:ascii="Tahoma" w:eastAsia="Times New Roman" w:hAnsi="Tahoma" w:cs="Tahoma"/>
          <w:b/>
          <w:bCs/>
          <w:sz w:val="16"/>
          <w:szCs w:val="16"/>
          <w:lang w:eastAsia="pl-PL"/>
        </w:rPr>
        <w:t>Pzp</w:t>
      </w:r>
      <w:proofErr w:type="spellEnd"/>
      <w:r w:rsidRPr="00BF6DD5">
        <w:rPr>
          <w:rFonts w:ascii="Tahoma" w:eastAsia="Times New Roman" w:hAnsi="Tahoma" w:cs="Tahoma"/>
          <w:b/>
          <w:bCs/>
          <w:sz w:val="16"/>
          <w:szCs w:val="16"/>
          <w:lang w:eastAsia="pl-PL"/>
        </w:rPr>
        <w:t>: </w:t>
      </w:r>
      <w:r w:rsidRPr="00BF6DD5">
        <w:rPr>
          <w:rFonts w:ascii="Tahoma" w:eastAsia="Times New Roman" w:hAnsi="Tahoma" w:cs="Tahoma"/>
          <w:sz w:val="16"/>
          <w:szCs w:val="16"/>
          <w:lang w:eastAsia="pl-PL"/>
        </w:rPr>
        <w:t>nie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II.8) Okres, w którym realizowane będzie zamówienie lub okres, na który została zawarta umowa ramowa lub okres, na który został ustanowiony dynamiczny system zakupów:</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data zakończenia: 31/12/2017</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II.9) Informacje dodatkowe:</w:t>
      </w:r>
    </w:p>
    <w:p w:rsidR="00BF6DD5" w:rsidRPr="00BF6DD5" w:rsidRDefault="00BF6DD5" w:rsidP="00BF6DD5">
      <w:pPr>
        <w:spacing w:after="0" w:line="240" w:lineRule="auto"/>
        <w:rPr>
          <w:rFonts w:ascii="Tahoma" w:eastAsia="Times New Roman" w:hAnsi="Tahoma" w:cs="Tahoma"/>
          <w:b/>
          <w:bCs/>
          <w:sz w:val="16"/>
          <w:szCs w:val="16"/>
          <w:lang w:eastAsia="pl-PL"/>
        </w:rPr>
      </w:pPr>
      <w:r w:rsidRPr="00BF6DD5">
        <w:rPr>
          <w:rFonts w:ascii="Tahoma" w:eastAsia="Times New Roman" w:hAnsi="Tahoma" w:cs="Tahoma"/>
          <w:b/>
          <w:bCs/>
          <w:sz w:val="16"/>
          <w:szCs w:val="16"/>
          <w:u w:val="single"/>
          <w:lang w:eastAsia="pl-PL"/>
        </w:rPr>
        <w:t>SEKCJA III: INFORMACJE O CHARAKTERZE PRAWNYM, EKONOMICZNYM, FINANSOWYM I TECHNICZNYM</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III.1) WARUNKI UDZIAŁU W POSTĘPOWANIU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III.1.1) Kompetencje lub uprawnienia do prowadzenia określonej działalności zawodowej, o ile wynika to z odrębnych przepisów</w:t>
      </w:r>
      <w:r w:rsidRPr="00BF6DD5">
        <w:rPr>
          <w:rFonts w:ascii="Tahoma" w:eastAsia="Times New Roman" w:hAnsi="Tahoma" w:cs="Tahoma"/>
          <w:sz w:val="16"/>
          <w:szCs w:val="16"/>
          <w:lang w:eastAsia="pl-PL"/>
        </w:rPr>
        <w:br/>
        <w:t xml:space="preserve">Określenie warunków: Zamawiający uzna powyższy warunek za spełniony, jeżeli Wykonawca wykaże, że: -posiada wpis do rejestru działalności regulowanej w zakresie odbierania odpadów komunalnych od właścicieli nieruchomości na terenie Gminy Tryńcza, zgodnie z wymogami ustawy z dnia 13 września 1996 r. o utrzymaniu czystości i porządku z gminach (tekst jednolity Dz. U. z 2016 r. poz. 250 z </w:t>
      </w:r>
      <w:proofErr w:type="spellStart"/>
      <w:r w:rsidRPr="00BF6DD5">
        <w:rPr>
          <w:rFonts w:ascii="Tahoma" w:eastAsia="Times New Roman" w:hAnsi="Tahoma" w:cs="Tahoma"/>
          <w:sz w:val="16"/>
          <w:szCs w:val="16"/>
          <w:lang w:eastAsia="pl-PL"/>
        </w:rPr>
        <w:t>późn</w:t>
      </w:r>
      <w:proofErr w:type="spellEnd"/>
      <w:r w:rsidRPr="00BF6DD5">
        <w:rPr>
          <w:rFonts w:ascii="Tahoma" w:eastAsia="Times New Roman" w:hAnsi="Tahoma" w:cs="Tahoma"/>
          <w:sz w:val="16"/>
          <w:szCs w:val="16"/>
          <w:lang w:eastAsia="pl-PL"/>
        </w:rPr>
        <w:t xml:space="preserve">. zm.), -posiada wpis do rejestru podmiotów zbierających zużyty sprzęt elektryczny i elektroniczny zgodnie z ustawą z dnia 11 września 2015 r. o zużytym sprzęcie elektrycznym i elektronicznym (Dz. U. z 2015 r . poz. 1688), -posiada aktualne zezwolenie na transport odpadów komunalnych zgodnie z wymogami ustawy z dnia 14 grudnia 2012 r. o odpadach (Dz. U. z 2013 r. poz. 21 z </w:t>
      </w:r>
      <w:proofErr w:type="spellStart"/>
      <w:r w:rsidRPr="00BF6DD5">
        <w:rPr>
          <w:rFonts w:ascii="Tahoma" w:eastAsia="Times New Roman" w:hAnsi="Tahoma" w:cs="Tahoma"/>
          <w:sz w:val="16"/>
          <w:szCs w:val="16"/>
          <w:lang w:eastAsia="pl-PL"/>
        </w:rPr>
        <w:t>późn</w:t>
      </w:r>
      <w:proofErr w:type="spellEnd"/>
      <w:r w:rsidRPr="00BF6DD5">
        <w:rPr>
          <w:rFonts w:ascii="Tahoma" w:eastAsia="Times New Roman" w:hAnsi="Tahoma" w:cs="Tahoma"/>
          <w:sz w:val="16"/>
          <w:szCs w:val="16"/>
          <w:lang w:eastAsia="pl-PL"/>
        </w:rPr>
        <w:t>. zm.). </w:t>
      </w:r>
      <w:r w:rsidRPr="00BF6DD5">
        <w:rPr>
          <w:rFonts w:ascii="Tahoma" w:eastAsia="Times New Roman" w:hAnsi="Tahoma" w:cs="Tahoma"/>
          <w:sz w:val="16"/>
          <w:szCs w:val="16"/>
          <w:lang w:eastAsia="pl-PL"/>
        </w:rPr>
        <w:br/>
        <w:t>Informacje dodatkowe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III.1.2) Sytuacja finansowa lub ekonomiczna </w:t>
      </w:r>
      <w:r w:rsidRPr="00BF6DD5">
        <w:rPr>
          <w:rFonts w:ascii="Tahoma" w:eastAsia="Times New Roman" w:hAnsi="Tahoma" w:cs="Tahoma"/>
          <w:sz w:val="16"/>
          <w:szCs w:val="16"/>
          <w:lang w:eastAsia="pl-PL"/>
        </w:rPr>
        <w:br/>
        <w:t>Określenie warunków: Zamawiający nie stawia szczególnych wymagań w zakresie spełniania tego warunku</w:t>
      </w:r>
      <w:r w:rsidRPr="00BF6DD5">
        <w:rPr>
          <w:rFonts w:ascii="Tahoma" w:eastAsia="Times New Roman" w:hAnsi="Tahoma" w:cs="Tahoma"/>
          <w:sz w:val="16"/>
          <w:szCs w:val="16"/>
          <w:lang w:eastAsia="pl-PL"/>
        </w:rPr>
        <w:br/>
        <w:t>Informacje dodatkowe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III.1.3) Zdolność techniczna lub zawodowa </w:t>
      </w:r>
      <w:r w:rsidRPr="00BF6DD5">
        <w:rPr>
          <w:rFonts w:ascii="Tahoma" w:eastAsia="Times New Roman" w:hAnsi="Tahoma" w:cs="Tahoma"/>
          <w:sz w:val="16"/>
          <w:szCs w:val="16"/>
          <w:lang w:eastAsia="pl-PL"/>
        </w:rPr>
        <w:br/>
        <w:t>Określenie warunków: Zamawiający uzna warunek za spełniony jeżeli: 1) wykonawca wykaże, że wykonał należycie, a w przypadku świadczeń okresowych lub ciągłych również wykonuje należycie w okresie ostatnich trzech lat przed upływem terminu składania ofert, a jeżeli okres prowadzenia działalności jest krótszy - w tym okresie, co najmniej jedną usługę polegającą na obiorze odpadów komunalnych o wartości minimum 100 000,00 zł brutto ( słownie: sto tysięcy złotych); 2) wykonawca wykaże, że dysponuje lub będzie dysponował co najmniej: -dwoma pojazdami przystosowanymi do odbierania odpadów komunalnych zmieszanych (śmieciarki), -dwoma pojazdami przystosowanymi do odbioru selektywnie zebranych odpadów komunalnych, -jednym pojazdem do odbierania odpadów bez funkcji kompaktującej. </w:t>
      </w:r>
      <w:r w:rsidRPr="00BF6DD5">
        <w:rPr>
          <w:rFonts w:ascii="Tahoma" w:eastAsia="Times New Roman" w:hAnsi="Tahoma" w:cs="Tahoma"/>
          <w:sz w:val="16"/>
          <w:szCs w:val="16"/>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F6DD5">
        <w:rPr>
          <w:rFonts w:ascii="Tahoma" w:eastAsia="Times New Roman" w:hAnsi="Tahoma" w:cs="Tahoma"/>
          <w:sz w:val="16"/>
          <w:szCs w:val="16"/>
          <w:lang w:eastAsia="pl-PL"/>
        </w:rPr>
        <w:br/>
        <w:t>Informacje dodatkowe: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III.2) PODSTAWY WYKLUCZENIA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 xml:space="preserve">III.2.1) Podstawy wykluczenia określone w art. 24 ust. 1 ustawy </w:t>
      </w:r>
      <w:proofErr w:type="spellStart"/>
      <w:r w:rsidRPr="00BF6DD5">
        <w:rPr>
          <w:rFonts w:ascii="Tahoma" w:eastAsia="Times New Roman" w:hAnsi="Tahoma" w:cs="Tahoma"/>
          <w:b/>
          <w:bCs/>
          <w:sz w:val="16"/>
          <w:szCs w:val="16"/>
          <w:lang w:eastAsia="pl-PL"/>
        </w:rPr>
        <w:t>Pzp</w:t>
      </w:r>
      <w:proofErr w:type="spellEnd"/>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 xml:space="preserve">III.2.2) Zamawiający przewiduje wykluczenie wykonawcy na podstawie art. 24 ust. 5 ustawy </w:t>
      </w:r>
      <w:proofErr w:type="spellStart"/>
      <w:r w:rsidRPr="00BF6DD5">
        <w:rPr>
          <w:rFonts w:ascii="Tahoma" w:eastAsia="Times New Roman" w:hAnsi="Tahoma" w:cs="Tahoma"/>
          <w:b/>
          <w:bCs/>
          <w:sz w:val="16"/>
          <w:szCs w:val="16"/>
          <w:lang w:eastAsia="pl-PL"/>
        </w:rPr>
        <w:t>Pzp</w:t>
      </w:r>
      <w:proofErr w:type="spellEnd"/>
      <w:r w:rsidRPr="00BF6DD5">
        <w:rPr>
          <w:rFonts w:ascii="Tahoma" w:eastAsia="Times New Roman" w:hAnsi="Tahoma" w:cs="Tahoma"/>
          <w:sz w:val="16"/>
          <w:szCs w:val="16"/>
          <w:lang w:eastAsia="pl-PL"/>
        </w:rPr>
        <w:t> nie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III.3) WYKAZ OŚWIADCZEŃ SKŁADANYCH PRZEZ WYKONAWCĘ W CELU WSTĘPNEGO POTWIERDZENIA, ŻE NIE PODLEGA ON WYKLUCZENIU ORAZ SPEŁNIA WARUNKI UDZIAŁU W POSTĘPOWANIU ORAZ SPEŁNIA KRYTERIA SELEKCJI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Oświadczenie o niepodleganiu wykluczeniu oraz spełnianiu warunków udziału w postępowaniu </w:t>
      </w:r>
      <w:r w:rsidRPr="00BF6DD5">
        <w:rPr>
          <w:rFonts w:ascii="Tahoma" w:eastAsia="Times New Roman" w:hAnsi="Tahoma" w:cs="Tahoma"/>
          <w:sz w:val="16"/>
          <w:szCs w:val="16"/>
          <w:lang w:eastAsia="pl-PL"/>
        </w:rPr>
        <w:br/>
        <w:t>tak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Oświadczenie o spełnianiu kryteriów selekcji </w:t>
      </w:r>
      <w:r w:rsidRPr="00BF6DD5">
        <w:rPr>
          <w:rFonts w:ascii="Tahoma" w:eastAsia="Times New Roman" w:hAnsi="Tahoma" w:cs="Tahoma"/>
          <w:sz w:val="16"/>
          <w:szCs w:val="16"/>
          <w:lang w:eastAsia="pl-PL"/>
        </w:rPr>
        <w:b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III.4) WYKAZ OŚWIADCZEŃ LUB DOKUMENTÓW , SKŁADANYCH PRZEZ WYKONAWCĘ W POSTĘPOWANIU NA WEZWANIE ZAMAWIAJACEGO W CELU POTWIERDZENIA OKOLICZNOŚCI, O KTÓRYCH MOWA W ART. 25 UST. 1 PKT 3 USTAWY PZP: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III.5) WYKAZ OŚWIADCZEŃ LUB DOKUMENTÓW SKŁADANYCH PRZEZ WYKONAWCĘ W POSTĘPOWANIU NA WEZWANIE ZAMAWIAJACEGO W CELU POTWIERDZENIA OKOLICZNOŚCI, O KTÓRYCH MOWA W ART. 25 UST. 1 PKT 1 USTAWY PZP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III.5.1) W ZAKRESIE SPEŁNIANIA WARUNKÓW UDZIAŁU W POSTĘPOWANIU:</w:t>
      </w:r>
      <w:r w:rsidRPr="00BF6DD5">
        <w:rPr>
          <w:rFonts w:ascii="Tahoma" w:eastAsia="Times New Roman" w:hAnsi="Tahoma" w:cs="Tahoma"/>
          <w:sz w:val="16"/>
          <w:szCs w:val="16"/>
          <w:lang w:eastAsia="pl-PL"/>
        </w:rPr>
        <w:br/>
        <w:t xml:space="preserve">Zamawiający przed udzieleniem zamówienia wezwie wykonawcę, którego oferta została najwyżej oceniona, do złożenia w wyznaczonym terminie, nie krótszym niż 5 dni, aktualnych na dzień złożenia następujących oświadczeń lub dokumentów; W zakresie spełniania warunków udziału w postępowaniu: 1) zaświadczenie o wpisie do rejestru działalności regulowanej w zakresie odbierania odpadów komunalnych od właścicieli nieruchomości na terenie Gminy Tryńcza, zgodnie z wymogami ustawy z dnia 13 września 1996 r. o utrzymaniu czystości i porządku z gminach (tekst jednolity Dz. U. z 2016 r. poz. 250 z </w:t>
      </w:r>
      <w:proofErr w:type="spellStart"/>
      <w:r w:rsidRPr="00BF6DD5">
        <w:rPr>
          <w:rFonts w:ascii="Tahoma" w:eastAsia="Times New Roman" w:hAnsi="Tahoma" w:cs="Tahoma"/>
          <w:sz w:val="16"/>
          <w:szCs w:val="16"/>
          <w:lang w:eastAsia="pl-PL"/>
        </w:rPr>
        <w:t>późn</w:t>
      </w:r>
      <w:proofErr w:type="spellEnd"/>
      <w:r w:rsidRPr="00BF6DD5">
        <w:rPr>
          <w:rFonts w:ascii="Tahoma" w:eastAsia="Times New Roman" w:hAnsi="Tahoma" w:cs="Tahoma"/>
          <w:sz w:val="16"/>
          <w:szCs w:val="16"/>
          <w:lang w:eastAsia="pl-PL"/>
        </w:rPr>
        <w:t>. zm.), 2) zaświadczenie o wpisie do rejestru podmiotów zbierających zużyty sprzęt elektryczny i elektroniczny zgodnie z ustawą z dnia 11 września 2015 r. o zużytym sprzęcie elektrycznym i elektronicznym (Dz. U. z 2015 r . poz. 1688), 3) aktualne zezwolenie na transport odpadów komunalnych zgodnie z wymogami ustawy z dnia 14 grudnia 2012 r. o odpadach (</w:t>
      </w:r>
      <w:proofErr w:type="spellStart"/>
      <w:r w:rsidRPr="00BF6DD5">
        <w:rPr>
          <w:rFonts w:ascii="Tahoma" w:eastAsia="Times New Roman" w:hAnsi="Tahoma" w:cs="Tahoma"/>
          <w:sz w:val="16"/>
          <w:szCs w:val="16"/>
          <w:lang w:eastAsia="pl-PL"/>
        </w:rPr>
        <w:t>Dz.U</w:t>
      </w:r>
      <w:proofErr w:type="spellEnd"/>
      <w:r w:rsidRPr="00BF6DD5">
        <w:rPr>
          <w:rFonts w:ascii="Tahoma" w:eastAsia="Times New Roman" w:hAnsi="Tahoma" w:cs="Tahoma"/>
          <w:sz w:val="16"/>
          <w:szCs w:val="16"/>
          <w:lang w:eastAsia="pl-PL"/>
        </w:rPr>
        <w:t xml:space="preserve">. z 2013 r. poz. 21 z </w:t>
      </w:r>
      <w:proofErr w:type="spellStart"/>
      <w:r w:rsidRPr="00BF6DD5">
        <w:rPr>
          <w:rFonts w:ascii="Tahoma" w:eastAsia="Times New Roman" w:hAnsi="Tahoma" w:cs="Tahoma"/>
          <w:sz w:val="16"/>
          <w:szCs w:val="16"/>
          <w:lang w:eastAsia="pl-PL"/>
        </w:rPr>
        <w:t>późn</w:t>
      </w:r>
      <w:proofErr w:type="spellEnd"/>
      <w:r w:rsidRPr="00BF6DD5">
        <w:rPr>
          <w:rFonts w:ascii="Tahoma" w:eastAsia="Times New Roman" w:hAnsi="Tahoma" w:cs="Tahoma"/>
          <w:sz w:val="16"/>
          <w:szCs w:val="16"/>
          <w:lang w:eastAsia="pl-PL"/>
        </w:rPr>
        <w:t xml:space="preserve">. zm.), 4)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tj. co najmniej jedną usługę polegającą na obiorze </w:t>
      </w:r>
      <w:r w:rsidRPr="00BF6DD5">
        <w:rPr>
          <w:rFonts w:ascii="Tahoma" w:eastAsia="Times New Roman" w:hAnsi="Tahoma" w:cs="Tahoma"/>
          <w:sz w:val="16"/>
          <w:szCs w:val="16"/>
          <w:lang w:eastAsia="pl-PL"/>
        </w:rPr>
        <w:lastRenderedPageBreak/>
        <w:t>odpadów komunalnych o wartości minimum 100 000,00 zł brutto ( słownie: sto tysięcy złotych). Wzór stanowi załącznik Nr 4 do SIWZ; 5) wykazu narzędzi, wyposażenia zakładu lub urządzeń technicznych dostępnych wykonawcy w celu wykonania zamówienia publicznego wraz z informacją o podstawie do dysponowania tymi zasobami, tj. dysponuje lub będzie dysponował co najmniej: dwoma pojazdami przystosowanymi do odbierania odpadów komunalnych zmieszanych (śmieciarki), dwoma pojazdami przystosowanymi do odbioru selektywnie zebranych odpadów komunalnych, jednym pojazdem do odbierania odpadów bez funkcji kompaktującej. Wzór stanowi załącznik Nr 5 do SIWZ.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III.5.2) W ZAKRESIE KRYTERIÓW SELEKCJI:</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III.6) WYKAZ OŚWIADCZEŃ LUB DOKUMENTÓW SKŁADANYCH PRZEZ WYKONAWCĘ W POSTĘPOWANIU NA WEZWANIE ZAMAWIAJACEGO W CELU POTWIERDZENIA OKOLICZNOŚCI, O KTÓRYCH MOWA W ART. 25 UST. 1 PKT 2 USTAWY PZP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III.7) INNE DOKUMENTY NIE WYMIENIONE W pkt III.3) - III.6)</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1) Formularz ofertowy (wzór stanowi załącznik nr 1 do SIWZ). 2)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3) Pełnomocnictwo umocowujące do reprezentowania Wykonawcy w postępowaniu albo do reprezentowania Wykonawcy w postępowaniu i zawarcia umowy, jeżeli osoba reprezentująca Wykonawcę w postępowaniu o udzielenie zamówienia nie jest wskazana jako upoważniona do jego reprezentacji we właściwym rejestrze. 4)Wykonawca,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8 do SIWZ.</w:t>
      </w:r>
    </w:p>
    <w:p w:rsidR="00BF6DD5" w:rsidRPr="00BF6DD5" w:rsidRDefault="00BF6DD5" w:rsidP="00BF6DD5">
      <w:pPr>
        <w:spacing w:after="0" w:line="240" w:lineRule="auto"/>
        <w:rPr>
          <w:rFonts w:ascii="Tahoma" w:eastAsia="Times New Roman" w:hAnsi="Tahoma" w:cs="Tahoma"/>
          <w:b/>
          <w:bCs/>
          <w:sz w:val="16"/>
          <w:szCs w:val="16"/>
          <w:lang w:eastAsia="pl-PL"/>
        </w:rPr>
      </w:pPr>
      <w:r w:rsidRPr="00BF6DD5">
        <w:rPr>
          <w:rFonts w:ascii="Tahoma" w:eastAsia="Times New Roman" w:hAnsi="Tahoma" w:cs="Tahoma"/>
          <w:b/>
          <w:bCs/>
          <w:sz w:val="16"/>
          <w:szCs w:val="16"/>
          <w:u w:val="single"/>
          <w:lang w:eastAsia="pl-PL"/>
        </w:rPr>
        <w:t>SEKCJA IV: PROCEDURA</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IV.1) OPIS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IV.1.1) Tryb udzielenia zamówienia: </w:t>
      </w:r>
      <w:r w:rsidRPr="00BF6DD5">
        <w:rPr>
          <w:rFonts w:ascii="Tahoma" w:eastAsia="Times New Roman" w:hAnsi="Tahoma" w:cs="Tahoma"/>
          <w:sz w:val="16"/>
          <w:szCs w:val="16"/>
          <w:lang w:eastAsia="pl-PL"/>
        </w:rPr>
        <w:t>przetarg nieograniczony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IV.1.2) Zamawiający żąda wniesienia wadium:</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tak, </w:t>
      </w:r>
      <w:r w:rsidRPr="00BF6DD5">
        <w:rPr>
          <w:rFonts w:ascii="Tahoma" w:eastAsia="Times New Roman" w:hAnsi="Tahoma" w:cs="Tahoma"/>
          <w:sz w:val="16"/>
          <w:szCs w:val="16"/>
          <w:lang w:eastAsia="pl-PL"/>
        </w:rPr>
        <w:br/>
        <w:t>Informacja na temat wadium </w:t>
      </w:r>
      <w:r w:rsidRPr="00BF6DD5">
        <w:rPr>
          <w:rFonts w:ascii="Tahoma" w:eastAsia="Times New Roman" w:hAnsi="Tahoma" w:cs="Tahoma"/>
          <w:sz w:val="16"/>
          <w:szCs w:val="16"/>
          <w:lang w:eastAsia="pl-PL"/>
        </w:rPr>
        <w:br/>
        <w:t xml:space="preserve">1. Przystępując do niniejszego postępowania Wykonawca zobowiązany jest wnieść wadium w wysokości 2 000,00 zł (słownie: dwa tysiące złotych 00/100). 2. Wadium należy wnieść w jednej lub kilku następujących formach przewidzianych w art. 45 ust. 6 ustawy </w:t>
      </w:r>
      <w:proofErr w:type="spellStart"/>
      <w:r w:rsidRPr="00BF6DD5">
        <w:rPr>
          <w:rFonts w:ascii="Tahoma" w:eastAsia="Times New Roman" w:hAnsi="Tahoma" w:cs="Tahoma"/>
          <w:sz w:val="16"/>
          <w:szCs w:val="16"/>
          <w:lang w:eastAsia="pl-PL"/>
        </w:rPr>
        <w:t>Pzp</w:t>
      </w:r>
      <w:proofErr w:type="spellEnd"/>
      <w:r w:rsidRPr="00BF6DD5">
        <w:rPr>
          <w:rFonts w:ascii="Tahoma" w:eastAsia="Times New Roman" w:hAnsi="Tahoma" w:cs="Tahoma"/>
          <w:sz w:val="16"/>
          <w:szCs w:val="16"/>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BF6DD5">
        <w:rPr>
          <w:rFonts w:ascii="Tahoma" w:eastAsia="Times New Roman" w:hAnsi="Tahoma" w:cs="Tahoma"/>
          <w:sz w:val="16"/>
          <w:szCs w:val="16"/>
          <w:lang w:eastAsia="pl-PL"/>
        </w:rPr>
        <w:t>Dz.U</w:t>
      </w:r>
      <w:proofErr w:type="spellEnd"/>
      <w:r w:rsidRPr="00BF6DD5">
        <w:rPr>
          <w:rFonts w:ascii="Tahoma" w:eastAsia="Times New Roman" w:hAnsi="Tahoma" w:cs="Tahoma"/>
          <w:sz w:val="16"/>
          <w:szCs w:val="16"/>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„Odbiór odpadów komunalnych z nieruchomości zamieszkałych położonych na terenie Gminy Tryńcza” – UIB.271.7.2016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Odbiór odpadów komunalnych z nieruchomości zamieszkałych położonych na terenie Gminy Tryńcza” oraz włożyć do koperty zewnętrznej . 5. Wadium wniesione w formie innej niż pieniężna musi spełniać następujące wymagania: </w:t>
      </w:r>
      <w:r w:rsidRPr="00BF6DD5">
        <w:rPr>
          <w:rFonts w:ascii="Tahoma" w:eastAsia="Times New Roman" w:hAnsi="Tahoma" w:cs="Tahoma"/>
          <w:sz w:val="16"/>
          <w:szCs w:val="16"/>
          <w:lang w:eastAsia="pl-PL"/>
        </w:rPr>
        <w:softHyphen/>
        <w:t xml:space="preserve"> odpowiadać co do wartości wysokości wadium określonej w niniejszej SIWZ, </w:t>
      </w:r>
      <w:r w:rsidRPr="00BF6DD5">
        <w:rPr>
          <w:rFonts w:ascii="Tahoma" w:eastAsia="Times New Roman" w:hAnsi="Tahoma" w:cs="Tahoma"/>
          <w:sz w:val="16"/>
          <w:szCs w:val="16"/>
          <w:lang w:eastAsia="pl-PL"/>
        </w:rPr>
        <w:softHyphen/>
        <w:t xml:space="preserve"> musi odpowiadać, co do terminu ważności terminowi związania ofertą określonemu w niniejszej SIWZ, </w:t>
      </w:r>
      <w:r w:rsidRPr="00BF6DD5">
        <w:rPr>
          <w:rFonts w:ascii="Tahoma" w:eastAsia="Times New Roman" w:hAnsi="Tahoma" w:cs="Tahoma"/>
          <w:sz w:val="16"/>
          <w:szCs w:val="16"/>
          <w:lang w:eastAsia="pl-PL"/>
        </w:rPr>
        <w:softHyphen/>
        <w:t xml:space="preserve"> zawierać w swej treści okoliczności (zgodnie z art. 46 ust. 4a i 5 ustawy </w:t>
      </w:r>
      <w:proofErr w:type="spellStart"/>
      <w:r w:rsidRPr="00BF6DD5">
        <w:rPr>
          <w:rFonts w:ascii="Tahoma" w:eastAsia="Times New Roman" w:hAnsi="Tahoma" w:cs="Tahoma"/>
          <w:sz w:val="16"/>
          <w:szCs w:val="16"/>
          <w:lang w:eastAsia="pl-PL"/>
        </w:rPr>
        <w:t>Pzp</w:t>
      </w:r>
      <w:proofErr w:type="spellEnd"/>
      <w:r w:rsidRPr="00BF6DD5">
        <w:rPr>
          <w:rFonts w:ascii="Tahoma" w:eastAsia="Times New Roman" w:hAnsi="Tahoma" w:cs="Tahoma"/>
          <w:sz w:val="16"/>
          <w:szCs w:val="16"/>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BF6DD5">
        <w:rPr>
          <w:rFonts w:ascii="Tahoma" w:eastAsia="Times New Roman" w:hAnsi="Tahoma" w:cs="Tahoma"/>
          <w:sz w:val="16"/>
          <w:szCs w:val="16"/>
          <w:lang w:eastAsia="pl-PL"/>
        </w:rPr>
        <w:t>Pzp</w:t>
      </w:r>
      <w:proofErr w:type="spellEnd"/>
      <w:r w:rsidRPr="00BF6DD5">
        <w:rPr>
          <w:rFonts w:ascii="Tahoma" w:eastAsia="Times New Roman" w:hAnsi="Tahoma" w:cs="Tahoma"/>
          <w:sz w:val="16"/>
          <w:szCs w:val="16"/>
          <w:lang w:eastAsia="pl-PL"/>
        </w:rPr>
        <w:t xml:space="preserve">. 8. Zamawiający zatrzyma wadium wraz z odsetkami, zgodnie z art. 46 ust. 4a i ust. 5 ustawy </w:t>
      </w:r>
      <w:proofErr w:type="spellStart"/>
      <w:r w:rsidRPr="00BF6DD5">
        <w:rPr>
          <w:rFonts w:ascii="Tahoma" w:eastAsia="Times New Roman" w:hAnsi="Tahoma" w:cs="Tahoma"/>
          <w:sz w:val="16"/>
          <w:szCs w:val="16"/>
          <w:lang w:eastAsia="pl-PL"/>
        </w:rPr>
        <w:t>Pzp</w:t>
      </w:r>
      <w:proofErr w:type="spellEnd"/>
      <w:r w:rsidRPr="00BF6DD5">
        <w:rPr>
          <w:rFonts w:ascii="Tahoma" w:eastAsia="Times New Roman" w:hAnsi="Tahoma" w:cs="Tahoma"/>
          <w:sz w:val="16"/>
          <w:szCs w:val="16"/>
          <w:lang w:eastAsia="pl-PL"/>
        </w:rPr>
        <w:t>.</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IV.1.3) Przewiduje się udzielenie zaliczek na poczet wykonania zamówienia:</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IV.1.4) Wymaga się złożenia ofert w postaci katalogów elektronicznych lub dołączenia do ofert katalogów elektronicznych:</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 </w:t>
      </w:r>
      <w:r w:rsidRPr="00BF6DD5">
        <w:rPr>
          <w:rFonts w:ascii="Tahoma" w:eastAsia="Times New Roman" w:hAnsi="Tahoma" w:cs="Tahoma"/>
          <w:sz w:val="16"/>
          <w:szCs w:val="16"/>
          <w:lang w:eastAsia="pl-PL"/>
        </w:rPr>
        <w:br/>
        <w:t>Dopuszcza się złożenie ofert w postaci katalogów elektronicznych lub dołączenia do ofert katalogów elektronicznych: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Informacje dodatkowe: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IV.1.5.) Wymaga się złożenia oferty wariantowej:</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nie </w:t>
      </w:r>
      <w:r w:rsidRPr="00BF6DD5">
        <w:rPr>
          <w:rFonts w:ascii="Tahoma" w:eastAsia="Times New Roman" w:hAnsi="Tahoma" w:cs="Tahoma"/>
          <w:sz w:val="16"/>
          <w:szCs w:val="16"/>
          <w:lang w:eastAsia="pl-PL"/>
        </w:rPr>
        <w:br/>
        <w:t>Dopuszcza się złożenie oferty wariantowej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Złożenie oferty wariantowej dopuszcza się tylko z jednoczesnym złożeniem oferty zasadniczej: </w:t>
      </w:r>
      <w:r w:rsidRPr="00BF6DD5">
        <w:rPr>
          <w:rFonts w:ascii="Tahoma" w:eastAsia="Times New Roman" w:hAnsi="Tahoma" w:cs="Tahoma"/>
          <w:sz w:val="16"/>
          <w:szCs w:val="16"/>
          <w:lang w:eastAsia="pl-PL"/>
        </w:rPr>
        <w:b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lastRenderedPageBreak/>
        <w:br/>
      </w:r>
      <w:r w:rsidRPr="00BF6DD5">
        <w:rPr>
          <w:rFonts w:ascii="Tahoma" w:eastAsia="Times New Roman" w:hAnsi="Tahoma" w:cs="Tahoma"/>
          <w:b/>
          <w:bCs/>
          <w:sz w:val="16"/>
          <w:szCs w:val="16"/>
          <w:lang w:eastAsia="pl-PL"/>
        </w:rPr>
        <w:t>IV.1.6) Przewidywana liczba wykonawców, którzy zostaną zaproszeni do udziału w postępowaniu </w:t>
      </w:r>
      <w:r w:rsidRPr="00BF6DD5">
        <w:rPr>
          <w:rFonts w:ascii="Tahoma" w:eastAsia="Times New Roman" w:hAnsi="Tahoma" w:cs="Tahoma"/>
          <w:sz w:val="16"/>
          <w:szCs w:val="16"/>
          <w:lang w:eastAsia="pl-PL"/>
        </w:rPr>
        <w:br/>
      </w:r>
      <w:r w:rsidRPr="00BF6DD5">
        <w:rPr>
          <w:rFonts w:ascii="Tahoma" w:eastAsia="Times New Roman" w:hAnsi="Tahoma" w:cs="Tahoma"/>
          <w:i/>
          <w:iCs/>
          <w:sz w:val="16"/>
          <w:szCs w:val="16"/>
          <w:lang w:eastAsia="pl-PL"/>
        </w:rPr>
        <w:t>(przetarg ograniczony, negocjacje z ogłoszeniem, dialog konkurencyjny, partnerstwo innowacyjne)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Liczba wykonawców  </w:t>
      </w:r>
      <w:r w:rsidRPr="00BF6DD5">
        <w:rPr>
          <w:rFonts w:ascii="Tahoma" w:eastAsia="Times New Roman" w:hAnsi="Tahoma" w:cs="Tahoma"/>
          <w:sz w:val="16"/>
          <w:szCs w:val="16"/>
          <w:lang w:eastAsia="pl-PL"/>
        </w:rPr>
        <w:br/>
        <w:t>Przewidywana minimalna liczba wykonawców </w:t>
      </w:r>
      <w:r w:rsidRPr="00BF6DD5">
        <w:rPr>
          <w:rFonts w:ascii="Tahoma" w:eastAsia="Times New Roman" w:hAnsi="Tahoma" w:cs="Tahoma"/>
          <w:sz w:val="16"/>
          <w:szCs w:val="16"/>
          <w:lang w:eastAsia="pl-PL"/>
        </w:rPr>
        <w:br/>
        <w:t>Maksymalna liczba wykonawców  </w:t>
      </w:r>
      <w:r w:rsidRPr="00BF6DD5">
        <w:rPr>
          <w:rFonts w:ascii="Tahoma" w:eastAsia="Times New Roman" w:hAnsi="Tahoma" w:cs="Tahoma"/>
          <w:sz w:val="16"/>
          <w:szCs w:val="16"/>
          <w:lang w:eastAsia="pl-PL"/>
        </w:rPr>
        <w:br/>
        <w:t>Kryteria selekcji wykonawców: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IV.1.7) Informacje na temat umowy ramowej lub dynamicznego systemu zakupów:</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Umowa ramowa będzie zawarta: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Czy przewiduje się ograniczenie liczby uczestników umowy ramowej: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Informacje dodatkowe: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Zamówienie obejmuje ustanowienie dynamicznego systemu zakupów: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Informacje dodatkowe: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W ramach umowy ramowej/dynamicznego systemu zakupów dopuszcza się złożenie ofert w formie katalogów elektronicznych: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Przewiduje się pobranie ze złożonych katalogów elektronicznych informacji potrzebnych do sporządzenia ofert w ramach umowy ramowej/dynamicznego systemu zakupów: </w:t>
      </w:r>
      <w:r w:rsidRPr="00BF6DD5">
        <w:rPr>
          <w:rFonts w:ascii="Tahoma" w:eastAsia="Times New Roman" w:hAnsi="Tahoma" w:cs="Tahoma"/>
          <w:sz w:val="16"/>
          <w:szCs w:val="16"/>
          <w:lang w:eastAsia="pl-PL"/>
        </w:rPr>
        <w:br/>
        <w:t>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IV.1.8) Aukcja elektroniczna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Przewidziane jest przeprowadzenie aukcji elektronicznej </w:t>
      </w:r>
      <w:r w:rsidRPr="00BF6DD5">
        <w:rPr>
          <w:rFonts w:ascii="Tahoma" w:eastAsia="Times New Roman" w:hAnsi="Tahoma" w:cs="Tahoma"/>
          <w:i/>
          <w:iCs/>
          <w:sz w:val="16"/>
          <w:szCs w:val="16"/>
          <w:lang w:eastAsia="pl-PL"/>
        </w:rPr>
        <w:t>(przetarg nieograniczony, przetarg ograniczony, negocjacje z ogłoszeniem) </w:t>
      </w:r>
      <w:r w:rsidRPr="00BF6DD5">
        <w:rPr>
          <w:rFonts w:ascii="Tahoma" w:eastAsia="Times New Roman" w:hAnsi="Tahoma" w:cs="Tahoma"/>
          <w:sz w:val="16"/>
          <w:szCs w:val="16"/>
          <w:lang w:eastAsia="pl-PL"/>
        </w:rPr>
        <w:t>nie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Należy wskazać elementy, których wartości będą przedmiotem aukcji elektronicznej: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Przewiduje się ograniczenia co do przedstawionych wartości, wynikające z opisu przedmiotu zamówienia:</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Należy podać, które informacje zostaną udostępnione wykonawcom w trakcie aukcji elektronicznej oraz jaki będzie termin ich udostępnienia: </w:t>
      </w:r>
      <w:r w:rsidRPr="00BF6DD5">
        <w:rPr>
          <w:rFonts w:ascii="Tahoma" w:eastAsia="Times New Roman" w:hAnsi="Tahoma" w:cs="Tahoma"/>
          <w:sz w:val="16"/>
          <w:szCs w:val="16"/>
          <w:lang w:eastAsia="pl-PL"/>
        </w:rPr>
        <w:br/>
        <w:t>Informacje dotyczące przebiegu aukcji elektronicznej: </w:t>
      </w:r>
      <w:r w:rsidRPr="00BF6DD5">
        <w:rPr>
          <w:rFonts w:ascii="Tahoma" w:eastAsia="Times New Roman" w:hAnsi="Tahoma" w:cs="Tahoma"/>
          <w:sz w:val="16"/>
          <w:szCs w:val="16"/>
          <w:lang w:eastAsia="pl-PL"/>
        </w:rPr>
        <w:br/>
        <w:t>Jaki jest przewidziany sposób postępowania w toku aukcji elektronicznej i jakie będą warunki, na jakich wykonawcy będą mogli licytować (minimalne wysokości postąpień): </w:t>
      </w:r>
      <w:r w:rsidRPr="00BF6DD5">
        <w:rPr>
          <w:rFonts w:ascii="Tahoma" w:eastAsia="Times New Roman" w:hAnsi="Tahoma" w:cs="Tahoma"/>
          <w:sz w:val="16"/>
          <w:szCs w:val="16"/>
          <w:lang w:eastAsia="pl-PL"/>
        </w:rPr>
        <w:br/>
        <w:t>Informacje dotyczące wykorzystywanego sprzętu elektronicznego, rozwiązań i specyfikacji technicznych w zakresie połączeń: </w:t>
      </w:r>
      <w:r w:rsidRPr="00BF6DD5">
        <w:rPr>
          <w:rFonts w:ascii="Tahoma" w:eastAsia="Times New Roman" w:hAnsi="Tahoma" w:cs="Tahoma"/>
          <w:sz w:val="16"/>
          <w:szCs w:val="16"/>
          <w:lang w:eastAsia="pl-PL"/>
        </w:rPr>
        <w:br/>
        <w:t>Wymagania dotyczące rejestracji i identyfikacji wykonawców w aukcji elektronicznej: </w:t>
      </w:r>
      <w:r w:rsidRPr="00BF6DD5">
        <w:rPr>
          <w:rFonts w:ascii="Tahoma" w:eastAsia="Times New Roman" w:hAnsi="Tahoma" w:cs="Tahoma"/>
          <w:sz w:val="16"/>
          <w:szCs w:val="16"/>
          <w:lang w:eastAsia="pl-PL"/>
        </w:rPr>
        <w:br/>
        <w:t>Informacje o liczbie etapów aukcji elektronicznej i czasie ich trwania:</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1257"/>
      </w:tblGrid>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etap nr</w:t>
            </w: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czas trwania etapu</w:t>
            </w:r>
          </w:p>
        </w:tc>
      </w:tr>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p>
        </w:tc>
      </w:tr>
    </w:tbl>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t>Czy wykonawcy, którzy nie złożyli nowych postąpień, zostaną zakwalifikowani do następnego etapu: nie </w:t>
      </w:r>
      <w:r w:rsidRPr="00BF6DD5">
        <w:rPr>
          <w:rFonts w:ascii="Tahoma" w:eastAsia="Times New Roman" w:hAnsi="Tahoma" w:cs="Tahoma"/>
          <w:sz w:val="16"/>
          <w:szCs w:val="16"/>
          <w:lang w:eastAsia="pl-PL"/>
        </w:rPr>
        <w:br/>
        <w:t>Warunki zamknięcia aukcji elektronicznej: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IV.2) KRYTERIA OCENY OFERT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IV.2.1) Kryteria oceny ofert: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2"/>
        <w:gridCol w:w="724"/>
      </w:tblGrid>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i/>
                <w:iCs/>
                <w:sz w:val="16"/>
                <w:szCs w:val="16"/>
                <w:lang w:eastAsia="pl-PL"/>
              </w:rPr>
              <w:t>Kryteria</w:t>
            </w: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i/>
                <w:iCs/>
                <w:sz w:val="16"/>
                <w:szCs w:val="16"/>
                <w:lang w:eastAsia="pl-PL"/>
              </w:rPr>
              <w:t>Znaczenie</w:t>
            </w:r>
          </w:p>
        </w:tc>
      </w:tr>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Cena</w:t>
            </w: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60</w:t>
            </w:r>
          </w:p>
        </w:tc>
      </w:tr>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Liczba zbiórek odpadów wielogabarytowych</w:t>
            </w: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30</w:t>
            </w:r>
          </w:p>
        </w:tc>
      </w:tr>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Przeprowadzenie akcji promocyjno-informacyjnej</w:t>
            </w: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10</w:t>
            </w:r>
          </w:p>
        </w:tc>
      </w:tr>
    </w:tbl>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 xml:space="preserve">IV.2.3) Zastosowanie procedury, o której mowa w art. 24aa ust. 1 ustawy </w:t>
      </w:r>
      <w:proofErr w:type="spellStart"/>
      <w:r w:rsidRPr="00BF6DD5">
        <w:rPr>
          <w:rFonts w:ascii="Tahoma" w:eastAsia="Times New Roman" w:hAnsi="Tahoma" w:cs="Tahoma"/>
          <w:b/>
          <w:bCs/>
          <w:sz w:val="16"/>
          <w:szCs w:val="16"/>
          <w:lang w:eastAsia="pl-PL"/>
        </w:rPr>
        <w:t>Pzp</w:t>
      </w:r>
      <w:proofErr w:type="spellEnd"/>
      <w:r w:rsidRPr="00BF6DD5">
        <w:rPr>
          <w:rFonts w:ascii="Tahoma" w:eastAsia="Times New Roman" w:hAnsi="Tahoma" w:cs="Tahoma"/>
          <w:b/>
          <w:bCs/>
          <w:sz w:val="16"/>
          <w:szCs w:val="16"/>
          <w:lang w:eastAsia="pl-PL"/>
        </w:rPr>
        <w:t> </w:t>
      </w:r>
      <w:r w:rsidRPr="00BF6DD5">
        <w:rPr>
          <w:rFonts w:ascii="Tahoma" w:eastAsia="Times New Roman" w:hAnsi="Tahoma" w:cs="Tahoma"/>
          <w:sz w:val="16"/>
          <w:szCs w:val="16"/>
          <w:lang w:eastAsia="pl-PL"/>
        </w:rPr>
        <w:t>(przetarg nieograniczony)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IV.3) Negocjacje z ogłoszeniem, dialog konkurencyjny, partnerstwo innowacyjne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IV.3.1) Informacje na temat negocjacji z ogłoszeniem</w:t>
      </w:r>
      <w:r w:rsidRPr="00BF6DD5">
        <w:rPr>
          <w:rFonts w:ascii="Tahoma" w:eastAsia="Times New Roman" w:hAnsi="Tahoma" w:cs="Tahoma"/>
          <w:sz w:val="16"/>
          <w:szCs w:val="16"/>
          <w:lang w:eastAsia="pl-PL"/>
        </w:rPr>
        <w:br/>
        <w:t>Minimalne wymagania, które muszą spełniać wszystkie oferty: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Przewidziane jest zastrzeżenie prawa do udzielenia zamówienia na podstawie ofert wstępnych bez przeprowadzenia negocjacji nie </w:t>
      </w:r>
      <w:r w:rsidRPr="00BF6DD5">
        <w:rPr>
          <w:rFonts w:ascii="Tahoma" w:eastAsia="Times New Roman" w:hAnsi="Tahoma" w:cs="Tahoma"/>
          <w:sz w:val="16"/>
          <w:szCs w:val="16"/>
          <w:lang w:eastAsia="pl-PL"/>
        </w:rPr>
        <w:br/>
        <w:t>Przewidziany jest podział negocjacji na etapy w celu ograniczenia liczby ofert: nie </w:t>
      </w:r>
      <w:r w:rsidRPr="00BF6DD5">
        <w:rPr>
          <w:rFonts w:ascii="Tahoma" w:eastAsia="Times New Roman" w:hAnsi="Tahoma" w:cs="Tahoma"/>
          <w:sz w:val="16"/>
          <w:szCs w:val="16"/>
          <w:lang w:eastAsia="pl-PL"/>
        </w:rPr>
        <w:br/>
        <w:t>Należy podać informacje na temat etapów negocjacji (w tym liczbę etapów):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Informacje dodatkowe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IV.3.2) Informacje na temat dialogu konkurencyjnego</w:t>
      </w:r>
      <w:r w:rsidRPr="00BF6DD5">
        <w:rPr>
          <w:rFonts w:ascii="Tahoma" w:eastAsia="Times New Roman" w:hAnsi="Tahoma" w:cs="Tahoma"/>
          <w:sz w:val="16"/>
          <w:szCs w:val="16"/>
          <w:lang w:eastAsia="pl-PL"/>
        </w:rPr>
        <w:br/>
        <w:t>Opis potrzeb i wymagań zamawiającego lub informacja o sposobie uzyskania tego opisu: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lastRenderedPageBreak/>
        <w:br/>
        <w:t>Informacja o wysokości nagród dla wykonawców, którzy podczas dialogu konkurencyjnego przedstawili rozwiązania stanowiące podstawę do składania ofert, jeżeli zamawiający przewiduje nagrody: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Wstępny harmonogram postępowania: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Podział dialogu na etapy w celu ograniczenia liczby rozwiązań: nie </w:t>
      </w:r>
      <w:r w:rsidRPr="00BF6DD5">
        <w:rPr>
          <w:rFonts w:ascii="Tahoma" w:eastAsia="Times New Roman" w:hAnsi="Tahoma" w:cs="Tahoma"/>
          <w:sz w:val="16"/>
          <w:szCs w:val="16"/>
          <w:lang w:eastAsia="pl-PL"/>
        </w:rPr>
        <w:br/>
        <w:t>Należy podać informacje na temat etapów dialogu: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Informacje dodatkowe: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IV.3.3) Informacje na temat partnerstwa innowacyjnego</w:t>
      </w:r>
      <w:r w:rsidRPr="00BF6DD5">
        <w:rPr>
          <w:rFonts w:ascii="Tahoma" w:eastAsia="Times New Roman" w:hAnsi="Tahoma" w:cs="Tahoma"/>
          <w:sz w:val="16"/>
          <w:szCs w:val="16"/>
          <w:lang w:eastAsia="pl-PL"/>
        </w:rPr>
        <w:br/>
        <w:t>Elementy opisu przedmiotu zamówienia definiujące minimalne wymagania, którym muszą odpowiadać wszystkie oferty: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Podział negocjacji na etapy w celu ograniczeniu liczby ofert podlegających negocjacjom poprzez zastosowanie kryteriów oceny ofert wskazanych w specyfikacji istotnych warunków zamówienia: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Informacje dodatkowe: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IV.4) Licytacja elektroniczna </w:t>
      </w:r>
      <w:r w:rsidRPr="00BF6DD5">
        <w:rPr>
          <w:rFonts w:ascii="Tahoma" w:eastAsia="Times New Roman" w:hAnsi="Tahoma" w:cs="Tahoma"/>
          <w:sz w:val="16"/>
          <w:szCs w:val="16"/>
          <w:lang w:eastAsia="pl-PL"/>
        </w:rPr>
        <w:br/>
        <w:t>Adres strony internetowej, na której będzie prowadzona licytacja elektroniczna: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Adres strony internetowej, na której jest dostępny opis przedmiotu zamówienia w licytacji elektronicznej: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Wymagania dotyczące rejestracji i identyfikacji wykonawców w licytacji elektronicznej, w tym wymagania techniczne urządzeń informatycznych: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Sposób postępowania w toku licytacji elektronicznej, w tym określenie minimalnych wysokości postąpień: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Informacje o liczbie etapów licytacji elektronicznej i czasie ich trwania:</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1257"/>
      </w:tblGrid>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etap nr</w:t>
            </w: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r w:rsidRPr="00BF6DD5">
              <w:rPr>
                <w:rFonts w:ascii="Times New Roman" w:eastAsia="Times New Roman" w:hAnsi="Times New Roman" w:cs="Times New Roman"/>
                <w:sz w:val="16"/>
                <w:szCs w:val="16"/>
                <w:lang w:eastAsia="pl-PL"/>
              </w:rPr>
              <w:t>czas trwania etapu</w:t>
            </w:r>
          </w:p>
        </w:tc>
      </w:tr>
      <w:tr w:rsidR="00BF6DD5" w:rsidRPr="00BF6DD5" w:rsidTr="00BF6DD5">
        <w:trPr>
          <w:tblCellSpacing w:w="15" w:type="dxa"/>
        </w:trPr>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p>
        </w:tc>
        <w:tc>
          <w:tcPr>
            <w:tcW w:w="0" w:type="auto"/>
            <w:vAlign w:val="center"/>
            <w:hideMark/>
          </w:tcPr>
          <w:p w:rsidR="00BF6DD5" w:rsidRPr="00BF6DD5" w:rsidRDefault="00BF6DD5" w:rsidP="00BF6DD5">
            <w:pPr>
              <w:spacing w:after="0" w:line="240" w:lineRule="auto"/>
              <w:rPr>
                <w:rFonts w:ascii="Times New Roman" w:eastAsia="Times New Roman" w:hAnsi="Times New Roman" w:cs="Times New Roman"/>
                <w:sz w:val="16"/>
                <w:szCs w:val="16"/>
                <w:lang w:eastAsia="pl-PL"/>
              </w:rPr>
            </w:pPr>
          </w:p>
        </w:tc>
      </w:tr>
    </w:tbl>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t>Wykonawcy, którzy nie złożyli nowych postąpień, zostaną zakwalifikowani do następnego etapu: nie</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Termin otwarcia licytacji elektronicznej: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t>Termin i warunki zamknięcia licytacji elektronicznej: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t>Istotne dla stron postanowienia, które zostaną wprowadzone do treści zawieranej umowy w sprawie zamówienia publicznego, albo ogólne warunki umowy, albo wzór umowy: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t>Wymagania dotyczące zabezpieczenia należytego wykonania umowy: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sz w:val="16"/>
          <w:szCs w:val="16"/>
          <w:lang w:eastAsia="pl-PL"/>
        </w:rPr>
        <w:br/>
        <w:t>Informacje dodatkowe: </w:t>
      </w:r>
    </w:p>
    <w:p w:rsidR="00BF6DD5" w:rsidRPr="00BF6DD5" w:rsidRDefault="00BF6DD5" w:rsidP="00BF6DD5">
      <w:pPr>
        <w:spacing w:after="0" w:line="240" w:lineRule="auto"/>
        <w:rPr>
          <w:rFonts w:ascii="Tahoma" w:eastAsia="Times New Roman" w:hAnsi="Tahoma" w:cs="Tahoma"/>
          <w:sz w:val="16"/>
          <w:szCs w:val="16"/>
          <w:lang w:eastAsia="pl-PL"/>
        </w:rPr>
      </w:pPr>
      <w:r w:rsidRPr="00BF6DD5">
        <w:rPr>
          <w:rFonts w:ascii="Tahoma" w:eastAsia="Times New Roman" w:hAnsi="Tahoma" w:cs="Tahoma"/>
          <w:b/>
          <w:bCs/>
          <w:sz w:val="16"/>
          <w:szCs w:val="16"/>
          <w:lang w:eastAsia="pl-PL"/>
        </w:rPr>
        <w:t>IV.5) ZMIANA UMOWY</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Przewiduje się istotne zmiany postanowień zawartej umowy w stosunku do treści oferty, na podstawie której dokonano wyboru wykonawcy:</w:t>
      </w:r>
      <w:r w:rsidRPr="00BF6DD5">
        <w:rPr>
          <w:rFonts w:ascii="Tahoma" w:eastAsia="Times New Roman" w:hAnsi="Tahoma" w:cs="Tahoma"/>
          <w:sz w:val="16"/>
          <w:szCs w:val="16"/>
          <w:lang w:eastAsia="pl-PL"/>
        </w:rPr>
        <w:t> nie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IV.6) INFORMACJE ADMINISTRACYJNE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IV.6.1) Sposób udostępniania informacji o charakterze poufnym </w:t>
      </w:r>
      <w:r w:rsidRPr="00BF6DD5">
        <w:rPr>
          <w:rFonts w:ascii="Tahoma" w:eastAsia="Times New Roman" w:hAnsi="Tahoma" w:cs="Tahoma"/>
          <w:i/>
          <w:iCs/>
          <w:sz w:val="16"/>
          <w:szCs w:val="16"/>
          <w:lang w:eastAsia="pl-PL"/>
        </w:rPr>
        <w:t>(jeżeli dotyczy):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Środki służące ochronie informacji o charakterze poufnym</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IV.6.2) Termin składania ofert lub wniosków o dopuszczenie do udziału w postępowaniu: </w:t>
      </w:r>
      <w:r w:rsidRPr="00BF6DD5">
        <w:rPr>
          <w:rFonts w:ascii="Tahoma" w:eastAsia="Times New Roman" w:hAnsi="Tahoma" w:cs="Tahoma"/>
          <w:sz w:val="16"/>
          <w:szCs w:val="16"/>
          <w:lang w:eastAsia="pl-PL"/>
        </w:rPr>
        <w:br/>
        <w:t>Data: 08/12/2016, godzina: 09:00, </w:t>
      </w:r>
      <w:r w:rsidRPr="00BF6DD5">
        <w:rPr>
          <w:rFonts w:ascii="Tahoma" w:eastAsia="Times New Roman" w:hAnsi="Tahoma" w:cs="Tahoma"/>
          <w:sz w:val="16"/>
          <w:szCs w:val="16"/>
          <w:lang w:eastAsia="pl-PL"/>
        </w:rPr>
        <w:br/>
        <w:t>Skrócenie terminu składania wniosków, ze względu na pilną potrzebę udzielenia zamówienia (przetarg nieograniczony, przetarg ograniczony, negocjacje z ogłoszeniem): </w:t>
      </w:r>
      <w:r w:rsidRPr="00BF6DD5">
        <w:rPr>
          <w:rFonts w:ascii="Tahoma" w:eastAsia="Times New Roman" w:hAnsi="Tahoma" w:cs="Tahoma"/>
          <w:sz w:val="16"/>
          <w:szCs w:val="16"/>
          <w:lang w:eastAsia="pl-PL"/>
        </w:rPr>
        <w:br/>
        <w:t>nie </w:t>
      </w:r>
      <w:r w:rsidRPr="00BF6DD5">
        <w:rPr>
          <w:rFonts w:ascii="Tahoma" w:eastAsia="Times New Roman" w:hAnsi="Tahoma" w:cs="Tahoma"/>
          <w:sz w:val="16"/>
          <w:szCs w:val="16"/>
          <w:lang w:eastAsia="pl-PL"/>
        </w:rPr>
        <w:br/>
        <w:t>Wskazać powody: </w:t>
      </w:r>
      <w:r w:rsidRPr="00BF6DD5">
        <w:rPr>
          <w:rFonts w:ascii="Tahoma" w:eastAsia="Times New Roman" w:hAnsi="Tahoma" w:cs="Tahoma"/>
          <w:sz w:val="16"/>
          <w:szCs w:val="16"/>
          <w:lang w:eastAsia="pl-PL"/>
        </w:rPr>
        <w:br/>
      </w:r>
      <w:r w:rsidRPr="00BF6DD5">
        <w:rPr>
          <w:rFonts w:ascii="Tahoma" w:eastAsia="Times New Roman" w:hAnsi="Tahoma" w:cs="Tahoma"/>
          <w:sz w:val="16"/>
          <w:szCs w:val="16"/>
          <w:lang w:eastAsia="pl-PL"/>
        </w:rPr>
        <w:br/>
        <w:t>Język lub języki, w jakich mogą być sporządzane oferty lub wnioski o dopuszczenie do udziału w postępowaniu </w:t>
      </w:r>
      <w:r w:rsidRPr="00BF6DD5">
        <w:rPr>
          <w:rFonts w:ascii="Tahoma" w:eastAsia="Times New Roman" w:hAnsi="Tahoma" w:cs="Tahoma"/>
          <w:sz w:val="16"/>
          <w:szCs w:val="16"/>
          <w:lang w:eastAsia="pl-PL"/>
        </w:rPr>
        <w:br/>
        <w:t>&gt; język polski</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IV.6.3) Termin związania ofertą: </w:t>
      </w:r>
      <w:r w:rsidRPr="00BF6DD5">
        <w:rPr>
          <w:rFonts w:ascii="Tahoma" w:eastAsia="Times New Roman" w:hAnsi="Tahoma" w:cs="Tahoma"/>
          <w:sz w:val="16"/>
          <w:szCs w:val="16"/>
          <w:lang w:eastAsia="pl-PL"/>
        </w:rPr>
        <w:t>okres w dniach: 30 (od ostatecznego terminu składania ofert)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6DD5">
        <w:rPr>
          <w:rFonts w:ascii="Tahoma" w:eastAsia="Times New Roman" w:hAnsi="Tahoma" w:cs="Tahoma"/>
          <w:sz w:val="16"/>
          <w:szCs w:val="16"/>
          <w:lang w:eastAsia="pl-PL"/>
        </w:rPr>
        <w:t> nie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6DD5">
        <w:rPr>
          <w:rFonts w:ascii="Tahoma" w:eastAsia="Times New Roman" w:hAnsi="Tahoma" w:cs="Tahoma"/>
          <w:sz w:val="16"/>
          <w:szCs w:val="16"/>
          <w:lang w:eastAsia="pl-PL"/>
        </w:rPr>
        <w:t> nie </w:t>
      </w:r>
      <w:r w:rsidRPr="00BF6DD5">
        <w:rPr>
          <w:rFonts w:ascii="Tahoma" w:eastAsia="Times New Roman" w:hAnsi="Tahoma" w:cs="Tahoma"/>
          <w:sz w:val="16"/>
          <w:szCs w:val="16"/>
          <w:lang w:eastAsia="pl-PL"/>
        </w:rPr>
        <w:br/>
      </w:r>
      <w:r w:rsidRPr="00BF6DD5">
        <w:rPr>
          <w:rFonts w:ascii="Tahoma" w:eastAsia="Times New Roman" w:hAnsi="Tahoma" w:cs="Tahoma"/>
          <w:b/>
          <w:bCs/>
          <w:sz w:val="16"/>
          <w:szCs w:val="16"/>
          <w:lang w:eastAsia="pl-PL"/>
        </w:rPr>
        <w:t>IV.6.6) Informacje dodatkowe:</w:t>
      </w:r>
    </w:p>
    <w:bookmarkEnd w:id="0"/>
    <w:p w:rsidR="00BF6DD5" w:rsidRPr="00BF6DD5" w:rsidRDefault="00BF6DD5" w:rsidP="00BF6DD5">
      <w:pPr>
        <w:spacing w:after="0" w:line="240" w:lineRule="auto"/>
        <w:rPr>
          <w:rFonts w:ascii="Tahoma" w:eastAsia="Times New Roman" w:hAnsi="Tahoma" w:cs="Tahoma"/>
          <w:sz w:val="16"/>
          <w:szCs w:val="16"/>
          <w:lang w:eastAsia="pl-PL"/>
        </w:rPr>
      </w:pPr>
    </w:p>
    <w:sectPr w:rsidR="00BF6DD5" w:rsidRPr="00BF6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7D"/>
    <w:rsid w:val="0000777D"/>
    <w:rsid w:val="004009AE"/>
    <w:rsid w:val="00B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6338A-DF6C-435A-9ADA-5806313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23026">
      <w:bodyDiv w:val="1"/>
      <w:marLeft w:val="0"/>
      <w:marRight w:val="0"/>
      <w:marTop w:val="0"/>
      <w:marBottom w:val="0"/>
      <w:divBdr>
        <w:top w:val="none" w:sz="0" w:space="0" w:color="auto"/>
        <w:left w:val="none" w:sz="0" w:space="0" w:color="auto"/>
        <w:bottom w:val="none" w:sz="0" w:space="0" w:color="auto"/>
        <w:right w:val="none" w:sz="0" w:space="0" w:color="auto"/>
      </w:divBdr>
      <w:divsChild>
        <w:div w:id="532887604">
          <w:marLeft w:val="0"/>
          <w:marRight w:val="0"/>
          <w:marTop w:val="0"/>
          <w:marBottom w:val="0"/>
          <w:divBdr>
            <w:top w:val="none" w:sz="0" w:space="0" w:color="auto"/>
            <w:left w:val="none" w:sz="0" w:space="0" w:color="auto"/>
            <w:bottom w:val="none" w:sz="0" w:space="0" w:color="auto"/>
            <w:right w:val="none" w:sz="0" w:space="0" w:color="auto"/>
          </w:divBdr>
          <w:divsChild>
            <w:div w:id="852109202">
              <w:marLeft w:val="0"/>
              <w:marRight w:val="0"/>
              <w:marTop w:val="0"/>
              <w:marBottom w:val="0"/>
              <w:divBdr>
                <w:top w:val="none" w:sz="0" w:space="0" w:color="auto"/>
                <w:left w:val="none" w:sz="0" w:space="0" w:color="auto"/>
                <w:bottom w:val="none" w:sz="0" w:space="0" w:color="auto"/>
                <w:right w:val="none" w:sz="0" w:space="0" w:color="auto"/>
              </w:divBdr>
              <w:divsChild>
                <w:div w:id="619727011">
                  <w:marLeft w:val="0"/>
                  <w:marRight w:val="0"/>
                  <w:marTop w:val="0"/>
                  <w:marBottom w:val="0"/>
                  <w:divBdr>
                    <w:top w:val="none" w:sz="0" w:space="0" w:color="auto"/>
                    <w:left w:val="none" w:sz="0" w:space="0" w:color="auto"/>
                    <w:bottom w:val="none" w:sz="0" w:space="0" w:color="auto"/>
                    <w:right w:val="none" w:sz="0" w:space="0" w:color="auto"/>
                  </w:divBdr>
                  <w:divsChild>
                    <w:div w:id="1612128133">
                      <w:marLeft w:val="0"/>
                      <w:marRight w:val="0"/>
                      <w:marTop w:val="0"/>
                      <w:marBottom w:val="0"/>
                      <w:divBdr>
                        <w:top w:val="none" w:sz="0" w:space="0" w:color="auto"/>
                        <w:left w:val="none" w:sz="0" w:space="0" w:color="auto"/>
                        <w:bottom w:val="none" w:sz="0" w:space="0" w:color="auto"/>
                        <w:right w:val="none" w:sz="0" w:space="0" w:color="auto"/>
                      </w:divBdr>
                    </w:div>
                    <w:div w:id="1179810204">
                      <w:marLeft w:val="0"/>
                      <w:marRight w:val="0"/>
                      <w:marTop w:val="0"/>
                      <w:marBottom w:val="0"/>
                      <w:divBdr>
                        <w:top w:val="none" w:sz="0" w:space="0" w:color="auto"/>
                        <w:left w:val="none" w:sz="0" w:space="0" w:color="auto"/>
                        <w:bottom w:val="none" w:sz="0" w:space="0" w:color="auto"/>
                        <w:right w:val="none" w:sz="0" w:space="0" w:color="auto"/>
                      </w:divBdr>
                    </w:div>
                    <w:div w:id="119761059">
                      <w:marLeft w:val="0"/>
                      <w:marRight w:val="0"/>
                      <w:marTop w:val="0"/>
                      <w:marBottom w:val="0"/>
                      <w:divBdr>
                        <w:top w:val="none" w:sz="0" w:space="0" w:color="auto"/>
                        <w:left w:val="none" w:sz="0" w:space="0" w:color="auto"/>
                        <w:bottom w:val="none" w:sz="0" w:space="0" w:color="auto"/>
                        <w:right w:val="none" w:sz="0" w:space="0" w:color="auto"/>
                      </w:divBdr>
                    </w:div>
                    <w:div w:id="1863325093">
                      <w:marLeft w:val="0"/>
                      <w:marRight w:val="0"/>
                      <w:marTop w:val="0"/>
                      <w:marBottom w:val="0"/>
                      <w:divBdr>
                        <w:top w:val="none" w:sz="0" w:space="0" w:color="auto"/>
                        <w:left w:val="none" w:sz="0" w:space="0" w:color="auto"/>
                        <w:bottom w:val="none" w:sz="0" w:space="0" w:color="auto"/>
                        <w:right w:val="none" w:sz="0" w:space="0" w:color="auto"/>
                      </w:divBdr>
                      <w:divsChild>
                        <w:div w:id="1541668907">
                          <w:marLeft w:val="0"/>
                          <w:marRight w:val="0"/>
                          <w:marTop w:val="0"/>
                          <w:marBottom w:val="0"/>
                          <w:divBdr>
                            <w:top w:val="none" w:sz="0" w:space="0" w:color="auto"/>
                            <w:left w:val="none" w:sz="0" w:space="0" w:color="auto"/>
                            <w:bottom w:val="none" w:sz="0" w:space="0" w:color="auto"/>
                            <w:right w:val="none" w:sz="0" w:space="0" w:color="auto"/>
                          </w:divBdr>
                        </w:div>
                      </w:divsChild>
                    </w:div>
                    <w:div w:id="1912886636">
                      <w:marLeft w:val="0"/>
                      <w:marRight w:val="0"/>
                      <w:marTop w:val="0"/>
                      <w:marBottom w:val="0"/>
                      <w:divBdr>
                        <w:top w:val="none" w:sz="0" w:space="0" w:color="auto"/>
                        <w:left w:val="none" w:sz="0" w:space="0" w:color="auto"/>
                        <w:bottom w:val="none" w:sz="0" w:space="0" w:color="auto"/>
                        <w:right w:val="none" w:sz="0" w:space="0" w:color="auto"/>
                      </w:divBdr>
                      <w:divsChild>
                        <w:div w:id="1704599327">
                          <w:marLeft w:val="0"/>
                          <w:marRight w:val="0"/>
                          <w:marTop w:val="0"/>
                          <w:marBottom w:val="0"/>
                          <w:divBdr>
                            <w:top w:val="none" w:sz="0" w:space="0" w:color="auto"/>
                            <w:left w:val="none" w:sz="0" w:space="0" w:color="auto"/>
                            <w:bottom w:val="none" w:sz="0" w:space="0" w:color="auto"/>
                            <w:right w:val="none" w:sz="0" w:space="0" w:color="auto"/>
                          </w:divBdr>
                        </w:div>
                      </w:divsChild>
                    </w:div>
                    <w:div w:id="539244760">
                      <w:marLeft w:val="0"/>
                      <w:marRight w:val="0"/>
                      <w:marTop w:val="0"/>
                      <w:marBottom w:val="0"/>
                      <w:divBdr>
                        <w:top w:val="none" w:sz="0" w:space="0" w:color="auto"/>
                        <w:left w:val="none" w:sz="0" w:space="0" w:color="auto"/>
                        <w:bottom w:val="none" w:sz="0" w:space="0" w:color="auto"/>
                        <w:right w:val="none" w:sz="0" w:space="0" w:color="auto"/>
                      </w:divBdr>
                      <w:divsChild>
                        <w:div w:id="790125518">
                          <w:marLeft w:val="0"/>
                          <w:marRight w:val="0"/>
                          <w:marTop w:val="0"/>
                          <w:marBottom w:val="0"/>
                          <w:divBdr>
                            <w:top w:val="none" w:sz="0" w:space="0" w:color="auto"/>
                            <w:left w:val="none" w:sz="0" w:space="0" w:color="auto"/>
                            <w:bottom w:val="none" w:sz="0" w:space="0" w:color="auto"/>
                            <w:right w:val="none" w:sz="0" w:space="0" w:color="auto"/>
                          </w:divBdr>
                        </w:div>
                        <w:div w:id="33963419">
                          <w:marLeft w:val="0"/>
                          <w:marRight w:val="0"/>
                          <w:marTop w:val="0"/>
                          <w:marBottom w:val="0"/>
                          <w:divBdr>
                            <w:top w:val="none" w:sz="0" w:space="0" w:color="auto"/>
                            <w:left w:val="none" w:sz="0" w:space="0" w:color="auto"/>
                            <w:bottom w:val="none" w:sz="0" w:space="0" w:color="auto"/>
                            <w:right w:val="none" w:sz="0" w:space="0" w:color="auto"/>
                          </w:divBdr>
                        </w:div>
                        <w:div w:id="2010332337">
                          <w:marLeft w:val="0"/>
                          <w:marRight w:val="0"/>
                          <w:marTop w:val="0"/>
                          <w:marBottom w:val="0"/>
                          <w:divBdr>
                            <w:top w:val="none" w:sz="0" w:space="0" w:color="auto"/>
                            <w:left w:val="none" w:sz="0" w:space="0" w:color="auto"/>
                            <w:bottom w:val="none" w:sz="0" w:space="0" w:color="auto"/>
                            <w:right w:val="none" w:sz="0" w:space="0" w:color="auto"/>
                          </w:divBdr>
                        </w:div>
                        <w:div w:id="1547638089">
                          <w:marLeft w:val="0"/>
                          <w:marRight w:val="0"/>
                          <w:marTop w:val="0"/>
                          <w:marBottom w:val="0"/>
                          <w:divBdr>
                            <w:top w:val="none" w:sz="0" w:space="0" w:color="auto"/>
                            <w:left w:val="none" w:sz="0" w:space="0" w:color="auto"/>
                            <w:bottom w:val="none" w:sz="0" w:space="0" w:color="auto"/>
                            <w:right w:val="none" w:sz="0" w:space="0" w:color="auto"/>
                          </w:divBdr>
                        </w:div>
                      </w:divsChild>
                    </w:div>
                    <w:div w:id="2100448602">
                      <w:marLeft w:val="0"/>
                      <w:marRight w:val="0"/>
                      <w:marTop w:val="0"/>
                      <w:marBottom w:val="0"/>
                      <w:divBdr>
                        <w:top w:val="none" w:sz="0" w:space="0" w:color="auto"/>
                        <w:left w:val="none" w:sz="0" w:space="0" w:color="auto"/>
                        <w:bottom w:val="none" w:sz="0" w:space="0" w:color="auto"/>
                        <w:right w:val="none" w:sz="0" w:space="0" w:color="auto"/>
                      </w:divBdr>
                      <w:divsChild>
                        <w:div w:id="1121873363">
                          <w:marLeft w:val="0"/>
                          <w:marRight w:val="0"/>
                          <w:marTop w:val="0"/>
                          <w:marBottom w:val="0"/>
                          <w:divBdr>
                            <w:top w:val="none" w:sz="0" w:space="0" w:color="auto"/>
                            <w:left w:val="none" w:sz="0" w:space="0" w:color="auto"/>
                            <w:bottom w:val="none" w:sz="0" w:space="0" w:color="auto"/>
                            <w:right w:val="none" w:sz="0" w:space="0" w:color="auto"/>
                          </w:divBdr>
                        </w:div>
                        <w:div w:id="1815950637">
                          <w:marLeft w:val="0"/>
                          <w:marRight w:val="0"/>
                          <w:marTop w:val="0"/>
                          <w:marBottom w:val="0"/>
                          <w:divBdr>
                            <w:top w:val="none" w:sz="0" w:space="0" w:color="auto"/>
                            <w:left w:val="none" w:sz="0" w:space="0" w:color="auto"/>
                            <w:bottom w:val="none" w:sz="0" w:space="0" w:color="auto"/>
                            <w:right w:val="none" w:sz="0" w:space="0" w:color="auto"/>
                          </w:divBdr>
                        </w:div>
                        <w:div w:id="233047020">
                          <w:marLeft w:val="0"/>
                          <w:marRight w:val="0"/>
                          <w:marTop w:val="0"/>
                          <w:marBottom w:val="0"/>
                          <w:divBdr>
                            <w:top w:val="none" w:sz="0" w:space="0" w:color="auto"/>
                            <w:left w:val="none" w:sz="0" w:space="0" w:color="auto"/>
                            <w:bottom w:val="none" w:sz="0" w:space="0" w:color="auto"/>
                            <w:right w:val="none" w:sz="0" w:space="0" w:color="auto"/>
                          </w:divBdr>
                        </w:div>
                        <w:div w:id="2105297667">
                          <w:marLeft w:val="0"/>
                          <w:marRight w:val="0"/>
                          <w:marTop w:val="0"/>
                          <w:marBottom w:val="0"/>
                          <w:divBdr>
                            <w:top w:val="none" w:sz="0" w:space="0" w:color="auto"/>
                            <w:left w:val="none" w:sz="0" w:space="0" w:color="auto"/>
                            <w:bottom w:val="none" w:sz="0" w:space="0" w:color="auto"/>
                            <w:right w:val="none" w:sz="0" w:space="0" w:color="auto"/>
                          </w:divBdr>
                        </w:div>
                        <w:div w:id="1233196748">
                          <w:marLeft w:val="0"/>
                          <w:marRight w:val="0"/>
                          <w:marTop w:val="0"/>
                          <w:marBottom w:val="0"/>
                          <w:divBdr>
                            <w:top w:val="none" w:sz="0" w:space="0" w:color="auto"/>
                            <w:left w:val="none" w:sz="0" w:space="0" w:color="auto"/>
                            <w:bottom w:val="none" w:sz="0" w:space="0" w:color="auto"/>
                            <w:right w:val="none" w:sz="0" w:space="0" w:color="auto"/>
                          </w:divBdr>
                        </w:div>
                        <w:div w:id="717706398">
                          <w:marLeft w:val="0"/>
                          <w:marRight w:val="0"/>
                          <w:marTop w:val="0"/>
                          <w:marBottom w:val="0"/>
                          <w:divBdr>
                            <w:top w:val="none" w:sz="0" w:space="0" w:color="auto"/>
                            <w:left w:val="none" w:sz="0" w:space="0" w:color="auto"/>
                            <w:bottom w:val="none" w:sz="0" w:space="0" w:color="auto"/>
                            <w:right w:val="none" w:sz="0" w:space="0" w:color="auto"/>
                          </w:divBdr>
                        </w:div>
                        <w:div w:id="1175414851">
                          <w:marLeft w:val="0"/>
                          <w:marRight w:val="0"/>
                          <w:marTop w:val="0"/>
                          <w:marBottom w:val="0"/>
                          <w:divBdr>
                            <w:top w:val="none" w:sz="0" w:space="0" w:color="auto"/>
                            <w:left w:val="none" w:sz="0" w:space="0" w:color="auto"/>
                            <w:bottom w:val="none" w:sz="0" w:space="0" w:color="auto"/>
                            <w:right w:val="none" w:sz="0" w:space="0" w:color="auto"/>
                          </w:divBdr>
                        </w:div>
                      </w:divsChild>
                    </w:div>
                    <w:div w:id="1050543219">
                      <w:marLeft w:val="0"/>
                      <w:marRight w:val="0"/>
                      <w:marTop w:val="0"/>
                      <w:marBottom w:val="0"/>
                      <w:divBdr>
                        <w:top w:val="none" w:sz="0" w:space="0" w:color="auto"/>
                        <w:left w:val="none" w:sz="0" w:space="0" w:color="auto"/>
                        <w:bottom w:val="none" w:sz="0" w:space="0" w:color="auto"/>
                        <w:right w:val="none" w:sz="0" w:space="0" w:color="auto"/>
                      </w:divBdr>
                      <w:divsChild>
                        <w:div w:id="348724283">
                          <w:marLeft w:val="0"/>
                          <w:marRight w:val="0"/>
                          <w:marTop w:val="0"/>
                          <w:marBottom w:val="0"/>
                          <w:divBdr>
                            <w:top w:val="none" w:sz="0" w:space="0" w:color="auto"/>
                            <w:left w:val="none" w:sz="0" w:space="0" w:color="auto"/>
                            <w:bottom w:val="none" w:sz="0" w:space="0" w:color="auto"/>
                            <w:right w:val="none" w:sz="0" w:space="0" w:color="auto"/>
                          </w:divBdr>
                        </w:div>
                        <w:div w:id="239099320">
                          <w:marLeft w:val="0"/>
                          <w:marRight w:val="0"/>
                          <w:marTop w:val="0"/>
                          <w:marBottom w:val="0"/>
                          <w:divBdr>
                            <w:top w:val="none" w:sz="0" w:space="0" w:color="auto"/>
                            <w:left w:val="none" w:sz="0" w:space="0" w:color="auto"/>
                            <w:bottom w:val="none" w:sz="0" w:space="0" w:color="auto"/>
                            <w:right w:val="none" w:sz="0" w:space="0" w:color="auto"/>
                          </w:divBdr>
                        </w:div>
                        <w:div w:id="256401950">
                          <w:marLeft w:val="0"/>
                          <w:marRight w:val="0"/>
                          <w:marTop w:val="0"/>
                          <w:marBottom w:val="0"/>
                          <w:divBdr>
                            <w:top w:val="none" w:sz="0" w:space="0" w:color="auto"/>
                            <w:left w:val="none" w:sz="0" w:space="0" w:color="auto"/>
                            <w:bottom w:val="none" w:sz="0" w:space="0" w:color="auto"/>
                            <w:right w:val="none" w:sz="0" w:space="0" w:color="auto"/>
                          </w:divBdr>
                        </w:div>
                      </w:divsChild>
                    </w:div>
                    <w:div w:id="153623266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
                        <w:div w:id="1143503255">
                          <w:marLeft w:val="0"/>
                          <w:marRight w:val="0"/>
                          <w:marTop w:val="0"/>
                          <w:marBottom w:val="0"/>
                          <w:divBdr>
                            <w:top w:val="none" w:sz="0" w:space="0" w:color="auto"/>
                            <w:left w:val="none" w:sz="0" w:space="0" w:color="auto"/>
                            <w:bottom w:val="none" w:sz="0" w:space="0" w:color="auto"/>
                            <w:right w:val="none" w:sz="0" w:space="0" w:color="auto"/>
                          </w:divBdr>
                        </w:div>
                        <w:div w:id="1395621211">
                          <w:marLeft w:val="0"/>
                          <w:marRight w:val="0"/>
                          <w:marTop w:val="0"/>
                          <w:marBottom w:val="0"/>
                          <w:divBdr>
                            <w:top w:val="none" w:sz="0" w:space="0" w:color="auto"/>
                            <w:left w:val="none" w:sz="0" w:space="0" w:color="auto"/>
                            <w:bottom w:val="none" w:sz="0" w:space="0" w:color="auto"/>
                            <w:right w:val="none" w:sz="0" w:space="0" w:color="auto"/>
                          </w:divBdr>
                        </w:div>
                        <w:div w:id="1112430984">
                          <w:marLeft w:val="0"/>
                          <w:marRight w:val="0"/>
                          <w:marTop w:val="0"/>
                          <w:marBottom w:val="0"/>
                          <w:divBdr>
                            <w:top w:val="none" w:sz="0" w:space="0" w:color="auto"/>
                            <w:left w:val="none" w:sz="0" w:space="0" w:color="auto"/>
                            <w:bottom w:val="none" w:sz="0" w:space="0" w:color="auto"/>
                            <w:right w:val="none" w:sz="0" w:space="0" w:color="auto"/>
                          </w:divBdr>
                        </w:div>
                        <w:div w:id="1336152338">
                          <w:marLeft w:val="0"/>
                          <w:marRight w:val="0"/>
                          <w:marTop w:val="0"/>
                          <w:marBottom w:val="0"/>
                          <w:divBdr>
                            <w:top w:val="none" w:sz="0" w:space="0" w:color="auto"/>
                            <w:left w:val="none" w:sz="0" w:space="0" w:color="auto"/>
                            <w:bottom w:val="none" w:sz="0" w:space="0" w:color="auto"/>
                            <w:right w:val="none" w:sz="0" w:space="0" w:color="auto"/>
                          </w:divBdr>
                        </w:div>
                      </w:divsChild>
                    </w:div>
                    <w:div w:id="835993268">
                      <w:marLeft w:val="0"/>
                      <w:marRight w:val="0"/>
                      <w:marTop w:val="0"/>
                      <w:marBottom w:val="0"/>
                      <w:divBdr>
                        <w:top w:val="none" w:sz="0" w:space="0" w:color="auto"/>
                        <w:left w:val="none" w:sz="0" w:space="0" w:color="auto"/>
                        <w:bottom w:val="none" w:sz="0" w:space="0" w:color="auto"/>
                        <w:right w:val="none" w:sz="0" w:space="0" w:color="auto"/>
                      </w:divBdr>
                      <w:divsChild>
                        <w:div w:id="1354192260">
                          <w:marLeft w:val="0"/>
                          <w:marRight w:val="0"/>
                          <w:marTop w:val="0"/>
                          <w:marBottom w:val="0"/>
                          <w:divBdr>
                            <w:top w:val="none" w:sz="0" w:space="0" w:color="auto"/>
                            <w:left w:val="none" w:sz="0" w:space="0" w:color="auto"/>
                            <w:bottom w:val="none" w:sz="0" w:space="0" w:color="auto"/>
                            <w:right w:val="none" w:sz="0" w:space="0" w:color="auto"/>
                          </w:divBdr>
                        </w:div>
                        <w:div w:id="1036613664">
                          <w:marLeft w:val="0"/>
                          <w:marRight w:val="0"/>
                          <w:marTop w:val="0"/>
                          <w:marBottom w:val="0"/>
                          <w:divBdr>
                            <w:top w:val="none" w:sz="0" w:space="0" w:color="auto"/>
                            <w:left w:val="none" w:sz="0" w:space="0" w:color="auto"/>
                            <w:bottom w:val="none" w:sz="0" w:space="0" w:color="auto"/>
                            <w:right w:val="none" w:sz="0" w:space="0" w:color="auto"/>
                          </w:divBdr>
                        </w:div>
                        <w:div w:id="508757819">
                          <w:marLeft w:val="0"/>
                          <w:marRight w:val="0"/>
                          <w:marTop w:val="0"/>
                          <w:marBottom w:val="0"/>
                          <w:divBdr>
                            <w:top w:val="none" w:sz="0" w:space="0" w:color="auto"/>
                            <w:left w:val="none" w:sz="0" w:space="0" w:color="auto"/>
                            <w:bottom w:val="none" w:sz="0" w:space="0" w:color="auto"/>
                            <w:right w:val="none" w:sz="0" w:space="0" w:color="auto"/>
                          </w:divBdr>
                        </w:div>
                        <w:div w:id="1933659427">
                          <w:marLeft w:val="0"/>
                          <w:marRight w:val="0"/>
                          <w:marTop w:val="0"/>
                          <w:marBottom w:val="0"/>
                          <w:divBdr>
                            <w:top w:val="none" w:sz="0" w:space="0" w:color="auto"/>
                            <w:left w:val="none" w:sz="0" w:space="0" w:color="auto"/>
                            <w:bottom w:val="none" w:sz="0" w:space="0" w:color="auto"/>
                            <w:right w:val="none" w:sz="0" w:space="0" w:color="auto"/>
                          </w:divBdr>
                        </w:div>
                        <w:div w:id="1757745496">
                          <w:marLeft w:val="0"/>
                          <w:marRight w:val="0"/>
                          <w:marTop w:val="0"/>
                          <w:marBottom w:val="0"/>
                          <w:divBdr>
                            <w:top w:val="none" w:sz="0" w:space="0" w:color="auto"/>
                            <w:left w:val="none" w:sz="0" w:space="0" w:color="auto"/>
                            <w:bottom w:val="none" w:sz="0" w:space="0" w:color="auto"/>
                            <w:right w:val="none" w:sz="0" w:space="0" w:color="auto"/>
                          </w:divBdr>
                        </w:div>
                        <w:div w:id="1691102293">
                          <w:marLeft w:val="0"/>
                          <w:marRight w:val="0"/>
                          <w:marTop w:val="0"/>
                          <w:marBottom w:val="0"/>
                          <w:divBdr>
                            <w:top w:val="none" w:sz="0" w:space="0" w:color="auto"/>
                            <w:left w:val="none" w:sz="0" w:space="0" w:color="auto"/>
                            <w:bottom w:val="none" w:sz="0" w:space="0" w:color="auto"/>
                            <w:right w:val="none" w:sz="0" w:space="0" w:color="auto"/>
                          </w:divBdr>
                        </w:div>
                        <w:div w:id="1682119163">
                          <w:marLeft w:val="0"/>
                          <w:marRight w:val="0"/>
                          <w:marTop w:val="0"/>
                          <w:marBottom w:val="0"/>
                          <w:divBdr>
                            <w:top w:val="none" w:sz="0" w:space="0" w:color="auto"/>
                            <w:left w:val="none" w:sz="0" w:space="0" w:color="auto"/>
                            <w:bottom w:val="none" w:sz="0" w:space="0" w:color="auto"/>
                            <w:right w:val="none" w:sz="0" w:space="0" w:color="auto"/>
                          </w:divBdr>
                        </w:div>
                        <w:div w:id="642655869">
                          <w:marLeft w:val="0"/>
                          <w:marRight w:val="0"/>
                          <w:marTop w:val="0"/>
                          <w:marBottom w:val="0"/>
                          <w:divBdr>
                            <w:top w:val="none" w:sz="0" w:space="0" w:color="auto"/>
                            <w:left w:val="none" w:sz="0" w:space="0" w:color="auto"/>
                            <w:bottom w:val="none" w:sz="0" w:space="0" w:color="auto"/>
                            <w:right w:val="none" w:sz="0" w:space="0" w:color="auto"/>
                          </w:divBdr>
                        </w:div>
                        <w:div w:id="4513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trync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7594</Words>
  <Characters>45566</Characters>
  <Application>Microsoft Office Word</Application>
  <DocSecurity>0</DocSecurity>
  <Lines>379</Lines>
  <Paragraphs>106</Paragraphs>
  <ScaleCrop>false</ScaleCrop>
  <Company/>
  <LinksUpToDate>false</LinksUpToDate>
  <CharactersWithSpaces>53054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2016-11-30T12:43:00Z</dcterms:created>
  <dcterms:modified xsi:type="dcterms:W3CDTF">2016-11-30T12:44:00Z</dcterms:modified>
</cp:coreProperties>
</file>