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71940347" w:displacedByCustomXml="next"/>
    <w:sdt>
      <w:sdtPr>
        <w:id w:val="3860378"/>
        <w:docPartObj>
          <w:docPartGallery w:val="Cover Pages"/>
          <w:docPartUnique/>
        </w:docPartObj>
      </w:sdtPr>
      <w:sdtEndPr>
        <w:rPr>
          <w:b/>
          <w:bCs/>
        </w:rPr>
      </w:sdtEndPr>
      <w:sdtContent>
        <w:p w:rsidR="007446A0" w:rsidRDefault="007446A0"/>
        <w:p w:rsidR="007446A0" w:rsidRDefault="007446A0">
          <w:r>
            <w:rPr>
              <w:noProof/>
              <w:lang w:eastAsia="pl-PL"/>
            </w:rPr>
            <mc:AlternateContent>
              <mc:Choice Requires="wps">
                <w:drawing>
                  <wp:anchor distT="0" distB="0" distL="114300" distR="114300" simplePos="0" relativeHeight="251667456" behindDoc="1" locked="0" layoutInCell="0" allowOverlap="1" wp14:anchorId="0841E474" wp14:editId="62E5DF20">
                    <wp:simplePos x="0" y="0"/>
                    <wp:positionH relativeFrom="page">
                      <wp:align>center</wp:align>
                    </wp:positionH>
                    <wp:positionV relativeFrom="page">
                      <wp:align>center</wp:align>
                    </wp:positionV>
                    <wp:extent cx="7772400" cy="10058400"/>
                    <wp:effectExtent l="0" t="0" r="0" b="0"/>
                    <wp:wrapNone/>
                    <wp:docPr id="42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2C401F" w:rsidRDefault="002C401F" w:rsidP="002C401F">
                                <w:pPr>
                                  <w:ind w:left="5812"/>
                                  <w:rPr>
                                    <w:i/>
                                  </w:rPr>
                                </w:pPr>
                              </w:p>
                              <w:p w:rsidR="002C401F" w:rsidRDefault="002C401F" w:rsidP="002C401F">
                                <w:pPr>
                                  <w:ind w:left="5812"/>
                                  <w:rPr>
                                    <w:i/>
                                  </w:rPr>
                                </w:pPr>
                              </w:p>
                              <w:p w:rsidR="002C401F" w:rsidRDefault="002C401F" w:rsidP="002C401F">
                                <w:pPr>
                                  <w:ind w:left="5812"/>
                                  <w:rPr>
                                    <w:i/>
                                  </w:rPr>
                                </w:pPr>
                              </w:p>
                              <w:p w:rsidR="002C401F" w:rsidRDefault="002C401F" w:rsidP="002C401F">
                                <w:pPr>
                                  <w:ind w:left="5812"/>
                                </w:pPr>
                                <w:r w:rsidRPr="009C0DCD">
                                  <w:rPr>
                                    <w:i/>
                                  </w:rPr>
                                  <w:t>Załącznik</w:t>
                                </w:r>
                                <w:r>
                                  <w:rPr>
                                    <w:i/>
                                  </w:rPr>
                                  <w:t xml:space="preserve"> </w:t>
                                </w:r>
                                <w:r>
                                  <w:rPr>
                                    <w:i/>
                                  </w:rPr>
                                  <w:t>2</w:t>
                                </w:r>
                                <w:r w:rsidRPr="009C0DCD">
                                  <w:rPr>
                                    <w:i/>
                                  </w:rPr>
                                  <w:t xml:space="preserve"> do </w:t>
                                </w:r>
                                <w:r>
                                  <w:rPr>
                                    <w:i/>
                                  </w:rPr>
                                  <w:t xml:space="preserve">Uchwały Rady Gminy </w:t>
                                </w:r>
                                <w:r w:rsidRPr="003046FE">
                                  <w:rPr>
                                    <w:i/>
                                  </w:rPr>
                                  <w:t xml:space="preserve">w Tryńczy </w:t>
                                </w:r>
                                <w:r>
                                  <w:rPr>
                                    <w:i/>
                                  </w:rPr>
                                  <w:br/>
                                  <w:t xml:space="preserve">Nr </w:t>
                                </w:r>
                                <w:bookmarkStart w:id="1" w:name="_GoBack"/>
                                <w:bookmarkEnd w:id="1"/>
                                <w:r w:rsidRPr="003046FE">
                                  <w:rPr>
                                    <w:i/>
                                  </w:rPr>
                                  <w:t xml:space="preserve"> </w:t>
                                </w:r>
                                <w:r>
                                  <w:rPr>
                                    <w:i/>
                                  </w:rPr>
                                  <w:t>………………………….</w:t>
                                </w:r>
                                <w:r w:rsidRPr="003046FE">
                                  <w:rPr>
                                    <w:i/>
                                  </w:rPr>
                                  <w:t xml:space="preserve"> </w:t>
                                </w:r>
                                <w:r w:rsidRPr="003046FE">
                                  <w:rPr>
                                    <w:i/>
                                  </w:rPr>
                                  <w:br/>
                                  <w:t xml:space="preserve">z dnia  </w:t>
                                </w:r>
                                <w:r>
                                  <w:rPr>
                                    <w:i/>
                                  </w:rPr>
                                  <w:t>……..</w:t>
                                </w:r>
                                <w:r w:rsidRPr="003046FE">
                                  <w:rPr>
                                    <w:i/>
                                  </w:rPr>
                                  <w:t xml:space="preserve">  2017 roku</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0841E474" id="Prostokąt 2" o:spid="_x0000_s1026" style="position:absolute;margin-left:0;margin-top:0;width:612pt;height:11in;z-index:-25164902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0OnDgMAADwGAAAOAAAAZHJzL2Uyb0RvYy54bWysVNuO0zAQfUfiHyy/d3Np0jbRpqtetoC0&#10;sBW7fIATO41FYgfbbbogHvkzPoyx03Zb4AGhzYPlicfHZ2bOzPXNvqnRjinNpchwcOVjxEQhKReb&#10;DH96XA0mGGlDBCW1FCzDT0zjm+nrV9ddm7JQVrKmTCEAETrt2gxXxrSp5+miYg3RV7JlAg5LqRpi&#10;wFQbjyrSAXpTe6Hvj7xOKtoqWTCt4e+yP8RTh1+WrDD3ZamZQXWGgZtxq3Jrbldvek3SjSJtxYsD&#10;DfIfLBrCBTx6gloSQ9BW8T+gGl4oqWVprgrZeLIsecFcDBBN4P8WzUNFWuZigeTo9pQm/XKwxYfd&#10;WiFOMxyFIUaCNFCkNVA08vPPHwaFNkNdq1NwfGjXysao2ztZfNZIyEVFxIbNlJJdxQgFXoH19y4u&#10;WEPDVZR37yUFeLI10iVrX6rGAkIa0N7V5OlUE7Y3qICf4/E4jHwoXQFnge/HE2vZR0h6vN8qbd4w&#10;2SC7ybCCqjt8srvTpnc9ujj+suZ0xevaGWqTL2qFdgQUsnLfAV2fuwEdwLIXLDFX2W9JAMzmYTJY&#10;jSbjQbSK4kEy9icDP0jmyciPkmi5+m6JBFFacUqZuOOCHVUWRP9WxYPee304naEuw0kcxi7GC5b6&#10;PBjffX8LpuEGmq7mTYYnJyeS2hLeCgoJI6khvO733iV9l3jIwWUq4uEo8pNwNJjNlpCKaDkZzOew&#10;Wyxuk2gYjKL4dnFMha4Ild19routYvQF0uFK1wvPledI0RXMadHKr5ex2ed7CNBqMpf0CVSpJEgG&#10;9AVDDDaVVF8x6mAgZFh/2RLFMKrfCVB2EkSRnSDOiOJxCIY6P8nPT4goACrDBqN+uzD91Nm2im8q&#10;eClw5RNyBt1QcitT6KyCCTakdltAJypyULRUppKHKbVSUhhbVZLWFukj3yCAhKcqxdgaHqTcPQwu&#10;0CNnkLodUgSlU1s7rd9mOB4Hse9o5GzH6kcrrOEEmgyj6rTrewr6vGZHLQEOYD/n8GDAiHJPHoja&#10;GXhuO6/noT/9BQAA//8DAFBLAwQUAAYACAAAACEAJKX3MtsAAAAHAQAADwAAAGRycy9kb3ducmV2&#10;LnhtbEyPQUvEMBCF74L/IYzgzU0tKkttuiyK4kGQrR48ZpuxKU0mtUm79d8768W9DO/xhjfflJvF&#10;OzHjGLtACq5XGQikJpiOWgUf709XaxAxaTLaBUIFPxhhU52flbow4UA7nOvUCi6hWGgFNqWhkDI2&#10;Fr2OqzAgcfYVRq8T27GVZtQHLvdO5ll2J73uiC9YPeCDxaavJ69g+53P/WP9+mK7N/e8w8++mWKv&#10;1OXFsr0HkXBJ/8twxGd0qJhpHyYyUTgF/Ej6m8csz2/Y71ndrlnJqpSn/NUvAAAA//8DAFBLAQIt&#10;ABQABgAIAAAAIQC2gziS/gAAAOEBAAATAAAAAAAAAAAAAAAAAAAAAABbQ29udGVudF9UeXBlc10u&#10;eG1sUEsBAi0AFAAGAAgAAAAhADj9If/WAAAAlAEAAAsAAAAAAAAAAAAAAAAALwEAAF9yZWxzLy5y&#10;ZWxzUEsBAi0AFAAGAAgAAAAhAIt3Q6cOAwAAPAYAAA4AAAAAAAAAAAAAAAAALgIAAGRycy9lMm9E&#10;b2MueG1sUEsBAi0AFAAGAAgAAAAhACSl9zLbAAAABwEAAA8AAAAAAAAAAAAAAAAAaAUAAGRycy9k&#10;b3ducmV2LnhtbFBLBQYAAAAABAAEAPMAAABwBgAAAAA=&#10;" o:allowincell="f" stroked="f">
                    <v:textbox>
                      <w:txbxContent>
                        <w:p w:rsidR="002C401F" w:rsidRDefault="002C401F" w:rsidP="002C401F">
                          <w:pPr>
                            <w:ind w:left="5812"/>
                            <w:rPr>
                              <w:i/>
                            </w:rPr>
                          </w:pPr>
                        </w:p>
                        <w:p w:rsidR="002C401F" w:rsidRDefault="002C401F" w:rsidP="002C401F">
                          <w:pPr>
                            <w:ind w:left="5812"/>
                            <w:rPr>
                              <w:i/>
                            </w:rPr>
                          </w:pPr>
                        </w:p>
                        <w:p w:rsidR="002C401F" w:rsidRDefault="002C401F" w:rsidP="002C401F">
                          <w:pPr>
                            <w:ind w:left="5812"/>
                            <w:rPr>
                              <w:i/>
                            </w:rPr>
                          </w:pPr>
                        </w:p>
                        <w:p w:rsidR="002C401F" w:rsidRDefault="002C401F" w:rsidP="002C401F">
                          <w:pPr>
                            <w:ind w:left="5812"/>
                          </w:pPr>
                          <w:r w:rsidRPr="009C0DCD">
                            <w:rPr>
                              <w:i/>
                            </w:rPr>
                            <w:t>Załącznik</w:t>
                          </w:r>
                          <w:r>
                            <w:rPr>
                              <w:i/>
                            </w:rPr>
                            <w:t xml:space="preserve"> </w:t>
                          </w:r>
                          <w:r>
                            <w:rPr>
                              <w:i/>
                            </w:rPr>
                            <w:t>2</w:t>
                          </w:r>
                          <w:r w:rsidRPr="009C0DCD">
                            <w:rPr>
                              <w:i/>
                            </w:rPr>
                            <w:t xml:space="preserve"> do </w:t>
                          </w:r>
                          <w:r>
                            <w:rPr>
                              <w:i/>
                            </w:rPr>
                            <w:t xml:space="preserve">Uchwały Rady Gminy </w:t>
                          </w:r>
                          <w:r w:rsidRPr="003046FE">
                            <w:rPr>
                              <w:i/>
                            </w:rPr>
                            <w:t xml:space="preserve">w Tryńczy </w:t>
                          </w:r>
                          <w:r>
                            <w:rPr>
                              <w:i/>
                            </w:rPr>
                            <w:br/>
                            <w:t xml:space="preserve">Nr </w:t>
                          </w:r>
                          <w:bookmarkStart w:id="2" w:name="_GoBack"/>
                          <w:bookmarkEnd w:id="2"/>
                          <w:r w:rsidRPr="003046FE">
                            <w:rPr>
                              <w:i/>
                            </w:rPr>
                            <w:t xml:space="preserve"> </w:t>
                          </w:r>
                          <w:r>
                            <w:rPr>
                              <w:i/>
                            </w:rPr>
                            <w:t>………………………….</w:t>
                          </w:r>
                          <w:r w:rsidRPr="003046FE">
                            <w:rPr>
                              <w:i/>
                            </w:rPr>
                            <w:t xml:space="preserve"> </w:t>
                          </w:r>
                          <w:r w:rsidRPr="003046FE">
                            <w:rPr>
                              <w:i/>
                            </w:rPr>
                            <w:br/>
                            <w:t xml:space="preserve">z dnia  </w:t>
                          </w:r>
                          <w:r>
                            <w:rPr>
                              <w:i/>
                            </w:rPr>
                            <w:t>……..</w:t>
                          </w:r>
                          <w:r w:rsidRPr="003046FE">
                            <w:rPr>
                              <w:i/>
                            </w:rPr>
                            <w:t xml:space="preserve">  2017 roku</w:t>
                          </w:r>
                        </w:p>
                      </w:txbxContent>
                    </v:textbox>
                    <w10:wrap anchorx="page" anchory="page"/>
                  </v:rect>
                </w:pict>
              </mc:Fallback>
            </mc:AlternateContent>
          </w:r>
        </w:p>
        <w:p w:rsidR="007446A0" w:rsidRDefault="007446A0"/>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513"/>
          </w:tblGrid>
          <w:tr w:rsidR="007446A0">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Tytuł"/>
                  <w:id w:val="13783212"/>
                  <w:dataBinding w:prefixMappings="xmlns:ns0='http://schemas.openxmlformats.org/package/2006/metadata/core-properties' xmlns:ns1='http://purl.org/dc/elements/1.1/'" w:xpath="/ns0:coreProperties[1]/ns1:title[1]" w:storeItemID="{6C3C8BC8-F283-45AE-878A-BAB7291924A1}"/>
                  <w:text/>
                </w:sdtPr>
                <w:sdtEndPr/>
                <w:sdtContent>
                  <w:p w:rsidR="007446A0" w:rsidRDefault="007446A0">
                    <w:pPr>
                      <w:pStyle w:val="Bezodstpw"/>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Szczegółowa diagnoza obszaru zdegradowanego i obszaru rewitalizacji</w:t>
                    </w:r>
                  </w:p>
                </w:sdtContent>
              </w:sdt>
              <w:p w:rsidR="007446A0" w:rsidRDefault="007446A0">
                <w:pPr>
                  <w:pStyle w:val="Bezodstpw"/>
                  <w:jc w:val="center"/>
                  <w:rPr>
                    <w:rFonts w:asciiTheme="majorHAnsi" w:eastAsiaTheme="majorEastAsia" w:hAnsiTheme="majorHAnsi" w:cstheme="majorBidi"/>
                    <w:sz w:val="32"/>
                    <w:szCs w:val="32"/>
                  </w:rPr>
                </w:pPr>
                <w:r>
                  <w:t>Gminy Tryńcza</w:t>
                </w:r>
              </w:p>
              <w:p w:rsidR="007446A0" w:rsidRDefault="007446A0">
                <w:pPr>
                  <w:pStyle w:val="Bezodstpw"/>
                  <w:jc w:val="center"/>
                </w:pPr>
              </w:p>
              <w:p w:rsidR="007446A0" w:rsidRDefault="007446A0" w:rsidP="007446A0">
                <w:pPr>
                  <w:pStyle w:val="Bezodstpw"/>
                  <w:jc w:val="center"/>
                </w:pPr>
              </w:p>
            </w:tc>
          </w:tr>
        </w:tbl>
        <w:p w:rsidR="007446A0" w:rsidRDefault="007446A0"/>
        <w:p w:rsidR="007446A0" w:rsidRDefault="007446A0">
          <w:r>
            <w:rPr>
              <w:b/>
              <w:bCs/>
            </w:rPr>
            <w:br w:type="page"/>
          </w:r>
        </w:p>
      </w:sdtContent>
    </w:sdt>
    <w:sdt>
      <w:sdtPr>
        <w:rPr>
          <w:rFonts w:asciiTheme="minorHAnsi" w:eastAsiaTheme="minorHAnsi" w:hAnsiTheme="minorHAnsi" w:cstheme="minorBidi"/>
          <w:b w:val="0"/>
          <w:bCs w:val="0"/>
          <w:color w:val="auto"/>
          <w:sz w:val="22"/>
          <w:szCs w:val="22"/>
          <w:lang w:eastAsia="en-US"/>
        </w:rPr>
        <w:id w:val="-2013605517"/>
        <w:docPartObj>
          <w:docPartGallery w:val="Table of Contents"/>
          <w:docPartUnique/>
        </w:docPartObj>
      </w:sdtPr>
      <w:sdtEndPr/>
      <w:sdtContent>
        <w:p w:rsidR="007446A0" w:rsidRDefault="007446A0">
          <w:pPr>
            <w:pStyle w:val="Nagwekspisutreci"/>
          </w:pPr>
          <w:r>
            <w:t>Spis treści</w:t>
          </w:r>
        </w:p>
        <w:p w:rsidR="009C6581" w:rsidRDefault="007446A0">
          <w:pPr>
            <w:pStyle w:val="Spistreci1"/>
            <w:tabs>
              <w:tab w:val="right" w:leader="dot" w:pos="9062"/>
            </w:tabs>
            <w:rPr>
              <w:rFonts w:eastAsiaTheme="minorEastAsia"/>
              <w:noProof/>
              <w:lang w:eastAsia="pl-PL"/>
            </w:rPr>
          </w:pPr>
          <w:r>
            <w:fldChar w:fldCharType="begin"/>
          </w:r>
          <w:r>
            <w:instrText xml:space="preserve"> TOC \o "1-3" \h \z \u </w:instrText>
          </w:r>
          <w:r>
            <w:fldChar w:fldCharType="separate"/>
          </w:r>
          <w:hyperlink w:anchor="_Toc496558055" w:history="1">
            <w:r w:rsidR="009C6581" w:rsidRPr="005E302F">
              <w:rPr>
                <w:rStyle w:val="Hipercze"/>
                <w:noProof/>
              </w:rPr>
              <w:t>Szczegółowa diagnoza obszaru gminy Tryńcza</w:t>
            </w:r>
            <w:r w:rsidR="009C6581">
              <w:rPr>
                <w:noProof/>
                <w:webHidden/>
              </w:rPr>
              <w:tab/>
            </w:r>
            <w:r w:rsidR="009C6581">
              <w:rPr>
                <w:noProof/>
                <w:webHidden/>
              </w:rPr>
              <w:fldChar w:fldCharType="begin"/>
            </w:r>
            <w:r w:rsidR="009C6581">
              <w:rPr>
                <w:noProof/>
                <w:webHidden/>
              </w:rPr>
              <w:instrText xml:space="preserve"> PAGEREF _Toc496558055 \h </w:instrText>
            </w:r>
            <w:r w:rsidR="009C6581">
              <w:rPr>
                <w:noProof/>
                <w:webHidden/>
              </w:rPr>
            </w:r>
            <w:r w:rsidR="009C6581">
              <w:rPr>
                <w:noProof/>
                <w:webHidden/>
              </w:rPr>
              <w:fldChar w:fldCharType="separate"/>
            </w:r>
            <w:r w:rsidR="009C6581">
              <w:rPr>
                <w:noProof/>
                <w:webHidden/>
              </w:rPr>
              <w:t>3</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56" w:history="1">
            <w:r w:rsidR="009C6581" w:rsidRPr="005E302F">
              <w:rPr>
                <w:rStyle w:val="Hipercze"/>
                <w:noProof/>
              </w:rPr>
              <w:t>Położenie</w:t>
            </w:r>
            <w:r w:rsidR="009C6581">
              <w:rPr>
                <w:noProof/>
                <w:webHidden/>
              </w:rPr>
              <w:tab/>
            </w:r>
            <w:r w:rsidR="009C6581">
              <w:rPr>
                <w:noProof/>
                <w:webHidden/>
              </w:rPr>
              <w:fldChar w:fldCharType="begin"/>
            </w:r>
            <w:r w:rsidR="009C6581">
              <w:rPr>
                <w:noProof/>
                <w:webHidden/>
              </w:rPr>
              <w:instrText xml:space="preserve"> PAGEREF _Toc496558056 \h </w:instrText>
            </w:r>
            <w:r w:rsidR="009C6581">
              <w:rPr>
                <w:noProof/>
                <w:webHidden/>
              </w:rPr>
            </w:r>
            <w:r w:rsidR="009C6581">
              <w:rPr>
                <w:noProof/>
                <w:webHidden/>
              </w:rPr>
              <w:fldChar w:fldCharType="separate"/>
            </w:r>
            <w:r w:rsidR="009C6581">
              <w:rPr>
                <w:noProof/>
                <w:webHidden/>
              </w:rPr>
              <w:t>3</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57" w:history="1">
            <w:r w:rsidR="009C6581" w:rsidRPr="005E302F">
              <w:rPr>
                <w:rStyle w:val="Hipercze"/>
                <w:noProof/>
              </w:rPr>
              <w:t>Zasoby przyrodnicze</w:t>
            </w:r>
            <w:r w:rsidR="009C6581">
              <w:rPr>
                <w:noProof/>
                <w:webHidden/>
              </w:rPr>
              <w:tab/>
            </w:r>
            <w:r w:rsidR="009C6581">
              <w:rPr>
                <w:noProof/>
                <w:webHidden/>
              </w:rPr>
              <w:fldChar w:fldCharType="begin"/>
            </w:r>
            <w:r w:rsidR="009C6581">
              <w:rPr>
                <w:noProof/>
                <w:webHidden/>
              </w:rPr>
              <w:instrText xml:space="preserve"> PAGEREF _Toc496558057 \h </w:instrText>
            </w:r>
            <w:r w:rsidR="009C6581">
              <w:rPr>
                <w:noProof/>
                <w:webHidden/>
              </w:rPr>
            </w:r>
            <w:r w:rsidR="009C6581">
              <w:rPr>
                <w:noProof/>
                <w:webHidden/>
              </w:rPr>
              <w:fldChar w:fldCharType="separate"/>
            </w:r>
            <w:r w:rsidR="009C6581">
              <w:rPr>
                <w:noProof/>
                <w:webHidden/>
              </w:rPr>
              <w:t>4</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58" w:history="1">
            <w:r w:rsidR="009C6581" w:rsidRPr="005E302F">
              <w:rPr>
                <w:rStyle w:val="Hipercze"/>
                <w:noProof/>
              </w:rPr>
              <w:t>Demografia</w:t>
            </w:r>
            <w:r w:rsidR="009C6581">
              <w:rPr>
                <w:noProof/>
                <w:webHidden/>
              </w:rPr>
              <w:tab/>
            </w:r>
            <w:r w:rsidR="009C6581">
              <w:rPr>
                <w:noProof/>
                <w:webHidden/>
              </w:rPr>
              <w:fldChar w:fldCharType="begin"/>
            </w:r>
            <w:r w:rsidR="009C6581">
              <w:rPr>
                <w:noProof/>
                <w:webHidden/>
              </w:rPr>
              <w:instrText xml:space="preserve"> PAGEREF _Toc496558058 \h </w:instrText>
            </w:r>
            <w:r w:rsidR="009C6581">
              <w:rPr>
                <w:noProof/>
                <w:webHidden/>
              </w:rPr>
            </w:r>
            <w:r w:rsidR="009C6581">
              <w:rPr>
                <w:noProof/>
                <w:webHidden/>
              </w:rPr>
              <w:fldChar w:fldCharType="separate"/>
            </w:r>
            <w:r w:rsidR="009C6581">
              <w:rPr>
                <w:noProof/>
                <w:webHidden/>
              </w:rPr>
              <w:t>7</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59" w:history="1">
            <w:r w:rsidR="009C6581" w:rsidRPr="005E302F">
              <w:rPr>
                <w:rStyle w:val="Hipercze"/>
                <w:noProof/>
              </w:rPr>
              <w:t>Rynek pracy</w:t>
            </w:r>
            <w:r w:rsidR="009C6581">
              <w:rPr>
                <w:noProof/>
                <w:webHidden/>
              </w:rPr>
              <w:tab/>
            </w:r>
            <w:r w:rsidR="009C6581">
              <w:rPr>
                <w:noProof/>
                <w:webHidden/>
              </w:rPr>
              <w:fldChar w:fldCharType="begin"/>
            </w:r>
            <w:r w:rsidR="009C6581">
              <w:rPr>
                <w:noProof/>
                <w:webHidden/>
              </w:rPr>
              <w:instrText xml:space="preserve"> PAGEREF _Toc496558059 \h </w:instrText>
            </w:r>
            <w:r w:rsidR="009C6581">
              <w:rPr>
                <w:noProof/>
                <w:webHidden/>
              </w:rPr>
            </w:r>
            <w:r w:rsidR="009C6581">
              <w:rPr>
                <w:noProof/>
                <w:webHidden/>
              </w:rPr>
              <w:fldChar w:fldCharType="separate"/>
            </w:r>
            <w:r w:rsidR="009C6581">
              <w:rPr>
                <w:noProof/>
                <w:webHidden/>
              </w:rPr>
              <w:t>9</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60" w:history="1">
            <w:r w:rsidR="009C6581" w:rsidRPr="005E302F">
              <w:rPr>
                <w:rStyle w:val="Hipercze"/>
                <w:noProof/>
              </w:rPr>
              <w:t>Pomoc społeczna</w:t>
            </w:r>
            <w:r w:rsidR="009C6581">
              <w:rPr>
                <w:noProof/>
                <w:webHidden/>
              </w:rPr>
              <w:tab/>
            </w:r>
            <w:r w:rsidR="009C6581">
              <w:rPr>
                <w:noProof/>
                <w:webHidden/>
              </w:rPr>
              <w:fldChar w:fldCharType="begin"/>
            </w:r>
            <w:r w:rsidR="009C6581">
              <w:rPr>
                <w:noProof/>
                <w:webHidden/>
              </w:rPr>
              <w:instrText xml:space="preserve"> PAGEREF _Toc496558060 \h </w:instrText>
            </w:r>
            <w:r w:rsidR="009C6581">
              <w:rPr>
                <w:noProof/>
                <w:webHidden/>
              </w:rPr>
            </w:r>
            <w:r w:rsidR="009C6581">
              <w:rPr>
                <w:noProof/>
                <w:webHidden/>
              </w:rPr>
              <w:fldChar w:fldCharType="separate"/>
            </w:r>
            <w:r w:rsidR="009C6581">
              <w:rPr>
                <w:noProof/>
                <w:webHidden/>
              </w:rPr>
              <w:t>11</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61" w:history="1">
            <w:r w:rsidR="009C6581" w:rsidRPr="005E302F">
              <w:rPr>
                <w:rStyle w:val="Hipercze"/>
                <w:noProof/>
              </w:rPr>
              <w:t>Infrastruktura</w:t>
            </w:r>
            <w:r w:rsidR="009C6581">
              <w:rPr>
                <w:noProof/>
                <w:webHidden/>
              </w:rPr>
              <w:tab/>
            </w:r>
            <w:r w:rsidR="009C6581">
              <w:rPr>
                <w:noProof/>
                <w:webHidden/>
              </w:rPr>
              <w:fldChar w:fldCharType="begin"/>
            </w:r>
            <w:r w:rsidR="009C6581">
              <w:rPr>
                <w:noProof/>
                <w:webHidden/>
              </w:rPr>
              <w:instrText xml:space="preserve"> PAGEREF _Toc496558061 \h </w:instrText>
            </w:r>
            <w:r w:rsidR="009C6581">
              <w:rPr>
                <w:noProof/>
                <w:webHidden/>
              </w:rPr>
            </w:r>
            <w:r w:rsidR="009C6581">
              <w:rPr>
                <w:noProof/>
                <w:webHidden/>
              </w:rPr>
              <w:fldChar w:fldCharType="separate"/>
            </w:r>
            <w:r w:rsidR="009C6581">
              <w:rPr>
                <w:noProof/>
                <w:webHidden/>
              </w:rPr>
              <w:t>17</w:t>
            </w:r>
            <w:r w:rsidR="009C6581">
              <w:rPr>
                <w:noProof/>
                <w:webHidden/>
              </w:rPr>
              <w:fldChar w:fldCharType="end"/>
            </w:r>
          </w:hyperlink>
        </w:p>
        <w:p w:rsidR="009C6581" w:rsidRDefault="00172343">
          <w:pPr>
            <w:pStyle w:val="Spistreci3"/>
            <w:tabs>
              <w:tab w:val="right" w:leader="dot" w:pos="9062"/>
            </w:tabs>
            <w:rPr>
              <w:rFonts w:eastAsiaTheme="minorEastAsia"/>
              <w:noProof/>
              <w:lang w:eastAsia="pl-PL"/>
            </w:rPr>
          </w:pPr>
          <w:hyperlink w:anchor="_Toc496558062" w:history="1">
            <w:r w:rsidR="009C6581" w:rsidRPr="005E302F">
              <w:rPr>
                <w:rStyle w:val="Hipercze"/>
                <w:noProof/>
              </w:rPr>
              <w:t>Infrastruktura transportowa</w:t>
            </w:r>
            <w:r w:rsidR="009C6581">
              <w:rPr>
                <w:noProof/>
                <w:webHidden/>
              </w:rPr>
              <w:tab/>
            </w:r>
            <w:r w:rsidR="009C6581">
              <w:rPr>
                <w:noProof/>
                <w:webHidden/>
              </w:rPr>
              <w:fldChar w:fldCharType="begin"/>
            </w:r>
            <w:r w:rsidR="009C6581">
              <w:rPr>
                <w:noProof/>
                <w:webHidden/>
              </w:rPr>
              <w:instrText xml:space="preserve"> PAGEREF _Toc496558062 \h </w:instrText>
            </w:r>
            <w:r w:rsidR="009C6581">
              <w:rPr>
                <w:noProof/>
                <w:webHidden/>
              </w:rPr>
            </w:r>
            <w:r w:rsidR="009C6581">
              <w:rPr>
                <w:noProof/>
                <w:webHidden/>
              </w:rPr>
              <w:fldChar w:fldCharType="separate"/>
            </w:r>
            <w:r w:rsidR="009C6581">
              <w:rPr>
                <w:noProof/>
                <w:webHidden/>
              </w:rPr>
              <w:t>17</w:t>
            </w:r>
            <w:r w:rsidR="009C6581">
              <w:rPr>
                <w:noProof/>
                <w:webHidden/>
              </w:rPr>
              <w:fldChar w:fldCharType="end"/>
            </w:r>
          </w:hyperlink>
        </w:p>
        <w:p w:rsidR="009C6581" w:rsidRDefault="00172343">
          <w:pPr>
            <w:pStyle w:val="Spistreci3"/>
            <w:tabs>
              <w:tab w:val="right" w:leader="dot" w:pos="9062"/>
            </w:tabs>
            <w:rPr>
              <w:rFonts w:eastAsiaTheme="minorEastAsia"/>
              <w:noProof/>
              <w:lang w:eastAsia="pl-PL"/>
            </w:rPr>
          </w:pPr>
          <w:hyperlink w:anchor="_Toc496558063" w:history="1">
            <w:r w:rsidR="009C6581" w:rsidRPr="005E302F">
              <w:rPr>
                <w:rStyle w:val="Hipercze"/>
                <w:noProof/>
              </w:rPr>
              <w:t>Infrastruktura komunalna</w:t>
            </w:r>
            <w:r w:rsidR="009C6581">
              <w:rPr>
                <w:noProof/>
                <w:webHidden/>
              </w:rPr>
              <w:tab/>
            </w:r>
            <w:r w:rsidR="009C6581">
              <w:rPr>
                <w:noProof/>
                <w:webHidden/>
              </w:rPr>
              <w:fldChar w:fldCharType="begin"/>
            </w:r>
            <w:r w:rsidR="009C6581">
              <w:rPr>
                <w:noProof/>
                <w:webHidden/>
              </w:rPr>
              <w:instrText xml:space="preserve"> PAGEREF _Toc496558063 \h </w:instrText>
            </w:r>
            <w:r w:rsidR="009C6581">
              <w:rPr>
                <w:noProof/>
                <w:webHidden/>
              </w:rPr>
            </w:r>
            <w:r w:rsidR="009C6581">
              <w:rPr>
                <w:noProof/>
                <w:webHidden/>
              </w:rPr>
              <w:fldChar w:fldCharType="separate"/>
            </w:r>
            <w:r w:rsidR="009C6581">
              <w:rPr>
                <w:noProof/>
                <w:webHidden/>
              </w:rPr>
              <w:t>18</w:t>
            </w:r>
            <w:r w:rsidR="009C6581">
              <w:rPr>
                <w:noProof/>
                <w:webHidden/>
              </w:rPr>
              <w:fldChar w:fldCharType="end"/>
            </w:r>
          </w:hyperlink>
        </w:p>
        <w:p w:rsidR="009C6581" w:rsidRDefault="00172343">
          <w:pPr>
            <w:pStyle w:val="Spistreci3"/>
            <w:tabs>
              <w:tab w:val="right" w:leader="dot" w:pos="9062"/>
            </w:tabs>
            <w:rPr>
              <w:rFonts w:eastAsiaTheme="minorEastAsia"/>
              <w:noProof/>
              <w:lang w:eastAsia="pl-PL"/>
            </w:rPr>
          </w:pPr>
          <w:hyperlink w:anchor="_Toc496558064" w:history="1">
            <w:r w:rsidR="009C6581" w:rsidRPr="005E302F">
              <w:rPr>
                <w:rStyle w:val="Hipercze"/>
                <w:noProof/>
              </w:rPr>
              <w:t>Infrastruktura sportowa i rekreacyjna</w:t>
            </w:r>
            <w:r w:rsidR="009C6581">
              <w:rPr>
                <w:noProof/>
                <w:webHidden/>
              </w:rPr>
              <w:tab/>
            </w:r>
            <w:r w:rsidR="009C6581">
              <w:rPr>
                <w:noProof/>
                <w:webHidden/>
              </w:rPr>
              <w:fldChar w:fldCharType="begin"/>
            </w:r>
            <w:r w:rsidR="009C6581">
              <w:rPr>
                <w:noProof/>
                <w:webHidden/>
              </w:rPr>
              <w:instrText xml:space="preserve"> PAGEREF _Toc496558064 \h </w:instrText>
            </w:r>
            <w:r w:rsidR="009C6581">
              <w:rPr>
                <w:noProof/>
                <w:webHidden/>
              </w:rPr>
            </w:r>
            <w:r w:rsidR="009C6581">
              <w:rPr>
                <w:noProof/>
                <w:webHidden/>
              </w:rPr>
              <w:fldChar w:fldCharType="separate"/>
            </w:r>
            <w:r w:rsidR="009C6581">
              <w:rPr>
                <w:noProof/>
                <w:webHidden/>
              </w:rPr>
              <w:t>21</w:t>
            </w:r>
            <w:r w:rsidR="009C6581">
              <w:rPr>
                <w:noProof/>
                <w:webHidden/>
              </w:rPr>
              <w:fldChar w:fldCharType="end"/>
            </w:r>
          </w:hyperlink>
        </w:p>
        <w:p w:rsidR="009C6581" w:rsidRDefault="00172343">
          <w:pPr>
            <w:pStyle w:val="Spistreci3"/>
            <w:tabs>
              <w:tab w:val="right" w:leader="dot" w:pos="9062"/>
            </w:tabs>
            <w:rPr>
              <w:rFonts w:eastAsiaTheme="minorEastAsia"/>
              <w:noProof/>
              <w:lang w:eastAsia="pl-PL"/>
            </w:rPr>
          </w:pPr>
          <w:hyperlink w:anchor="_Toc496558065" w:history="1">
            <w:r w:rsidR="009C6581" w:rsidRPr="005E302F">
              <w:rPr>
                <w:rStyle w:val="Hipercze"/>
                <w:noProof/>
              </w:rPr>
              <w:t>Infrastruktura kultury</w:t>
            </w:r>
            <w:r w:rsidR="009C6581">
              <w:rPr>
                <w:noProof/>
                <w:webHidden/>
              </w:rPr>
              <w:tab/>
            </w:r>
            <w:r w:rsidR="009C6581">
              <w:rPr>
                <w:noProof/>
                <w:webHidden/>
              </w:rPr>
              <w:fldChar w:fldCharType="begin"/>
            </w:r>
            <w:r w:rsidR="009C6581">
              <w:rPr>
                <w:noProof/>
                <w:webHidden/>
              </w:rPr>
              <w:instrText xml:space="preserve"> PAGEREF _Toc496558065 \h </w:instrText>
            </w:r>
            <w:r w:rsidR="009C6581">
              <w:rPr>
                <w:noProof/>
                <w:webHidden/>
              </w:rPr>
            </w:r>
            <w:r w:rsidR="009C6581">
              <w:rPr>
                <w:noProof/>
                <w:webHidden/>
              </w:rPr>
              <w:fldChar w:fldCharType="separate"/>
            </w:r>
            <w:r w:rsidR="009C6581">
              <w:rPr>
                <w:noProof/>
                <w:webHidden/>
              </w:rPr>
              <w:t>21</w:t>
            </w:r>
            <w:r w:rsidR="009C6581">
              <w:rPr>
                <w:noProof/>
                <w:webHidden/>
              </w:rPr>
              <w:fldChar w:fldCharType="end"/>
            </w:r>
          </w:hyperlink>
        </w:p>
        <w:p w:rsidR="009C6581" w:rsidRDefault="00172343">
          <w:pPr>
            <w:pStyle w:val="Spistreci3"/>
            <w:tabs>
              <w:tab w:val="right" w:leader="dot" w:pos="9062"/>
            </w:tabs>
            <w:rPr>
              <w:rFonts w:eastAsiaTheme="minorEastAsia"/>
              <w:noProof/>
              <w:lang w:eastAsia="pl-PL"/>
            </w:rPr>
          </w:pPr>
          <w:hyperlink w:anchor="_Toc496558066" w:history="1">
            <w:r w:rsidR="009C6581" w:rsidRPr="005E302F">
              <w:rPr>
                <w:rStyle w:val="Hipercze"/>
                <w:noProof/>
              </w:rPr>
              <w:t>Infrastruktura oświaty</w:t>
            </w:r>
            <w:r w:rsidR="009C6581">
              <w:rPr>
                <w:noProof/>
                <w:webHidden/>
              </w:rPr>
              <w:tab/>
            </w:r>
            <w:r w:rsidR="009C6581">
              <w:rPr>
                <w:noProof/>
                <w:webHidden/>
              </w:rPr>
              <w:fldChar w:fldCharType="begin"/>
            </w:r>
            <w:r w:rsidR="009C6581">
              <w:rPr>
                <w:noProof/>
                <w:webHidden/>
              </w:rPr>
              <w:instrText xml:space="preserve"> PAGEREF _Toc496558066 \h </w:instrText>
            </w:r>
            <w:r w:rsidR="009C6581">
              <w:rPr>
                <w:noProof/>
                <w:webHidden/>
              </w:rPr>
            </w:r>
            <w:r w:rsidR="009C6581">
              <w:rPr>
                <w:noProof/>
                <w:webHidden/>
              </w:rPr>
              <w:fldChar w:fldCharType="separate"/>
            </w:r>
            <w:r w:rsidR="009C6581">
              <w:rPr>
                <w:noProof/>
                <w:webHidden/>
              </w:rPr>
              <w:t>25</w:t>
            </w:r>
            <w:r w:rsidR="009C6581">
              <w:rPr>
                <w:noProof/>
                <w:webHidden/>
              </w:rPr>
              <w:fldChar w:fldCharType="end"/>
            </w:r>
          </w:hyperlink>
        </w:p>
        <w:p w:rsidR="009C6581" w:rsidRDefault="00172343">
          <w:pPr>
            <w:pStyle w:val="Spistreci3"/>
            <w:tabs>
              <w:tab w:val="right" w:leader="dot" w:pos="9062"/>
            </w:tabs>
            <w:rPr>
              <w:rFonts w:eastAsiaTheme="minorEastAsia"/>
              <w:noProof/>
              <w:lang w:eastAsia="pl-PL"/>
            </w:rPr>
          </w:pPr>
          <w:hyperlink w:anchor="_Toc496558067" w:history="1">
            <w:r w:rsidR="009C6581" w:rsidRPr="005E302F">
              <w:rPr>
                <w:rStyle w:val="Hipercze"/>
                <w:noProof/>
              </w:rPr>
              <w:t>Infrastruktura pomocy społecznej</w:t>
            </w:r>
            <w:r w:rsidR="009C6581">
              <w:rPr>
                <w:noProof/>
                <w:webHidden/>
              </w:rPr>
              <w:tab/>
            </w:r>
            <w:r w:rsidR="009C6581">
              <w:rPr>
                <w:noProof/>
                <w:webHidden/>
              </w:rPr>
              <w:fldChar w:fldCharType="begin"/>
            </w:r>
            <w:r w:rsidR="009C6581">
              <w:rPr>
                <w:noProof/>
                <w:webHidden/>
              </w:rPr>
              <w:instrText xml:space="preserve"> PAGEREF _Toc496558067 \h </w:instrText>
            </w:r>
            <w:r w:rsidR="009C6581">
              <w:rPr>
                <w:noProof/>
                <w:webHidden/>
              </w:rPr>
            </w:r>
            <w:r w:rsidR="009C6581">
              <w:rPr>
                <w:noProof/>
                <w:webHidden/>
              </w:rPr>
              <w:fldChar w:fldCharType="separate"/>
            </w:r>
            <w:r w:rsidR="009C6581">
              <w:rPr>
                <w:noProof/>
                <w:webHidden/>
              </w:rPr>
              <w:t>27</w:t>
            </w:r>
            <w:r w:rsidR="009C6581">
              <w:rPr>
                <w:noProof/>
                <w:webHidden/>
              </w:rPr>
              <w:fldChar w:fldCharType="end"/>
            </w:r>
          </w:hyperlink>
        </w:p>
        <w:p w:rsidR="009C6581" w:rsidRDefault="00172343">
          <w:pPr>
            <w:pStyle w:val="Spistreci3"/>
            <w:tabs>
              <w:tab w:val="right" w:leader="dot" w:pos="9062"/>
            </w:tabs>
            <w:rPr>
              <w:rFonts w:eastAsiaTheme="minorEastAsia"/>
              <w:noProof/>
              <w:lang w:eastAsia="pl-PL"/>
            </w:rPr>
          </w:pPr>
          <w:hyperlink w:anchor="_Toc496558068" w:history="1">
            <w:r w:rsidR="009C6581" w:rsidRPr="005E302F">
              <w:rPr>
                <w:rStyle w:val="Hipercze"/>
                <w:noProof/>
              </w:rPr>
              <w:t>Infrastruktura opieki zdrowotnej</w:t>
            </w:r>
            <w:r w:rsidR="009C6581">
              <w:rPr>
                <w:noProof/>
                <w:webHidden/>
              </w:rPr>
              <w:tab/>
            </w:r>
            <w:r w:rsidR="009C6581">
              <w:rPr>
                <w:noProof/>
                <w:webHidden/>
              </w:rPr>
              <w:fldChar w:fldCharType="begin"/>
            </w:r>
            <w:r w:rsidR="009C6581">
              <w:rPr>
                <w:noProof/>
                <w:webHidden/>
              </w:rPr>
              <w:instrText xml:space="preserve"> PAGEREF _Toc496558068 \h </w:instrText>
            </w:r>
            <w:r w:rsidR="009C6581">
              <w:rPr>
                <w:noProof/>
                <w:webHidden/>
              </w:rPr>
            </w:r>
            <w:r w:rsidR="009C6581">
              <w:rPr>
                <w:noProof/>
                <w:webHidden/>
              </w:rPr>
              <w:fldChar w:fldCharType="separate"/>
            </w:r>
            <w:r w:rsidR="009C6581">
              <w:rPr>
                <w:noProof/>
                <w:webHidden/>
              </w:rPr>
              <w:t>28</w:t>
            </w:r>
            <w:r w:rsidR="009C6581">
              <w:rPr>
                <w:noProof/>
                <w:webHidden/>
              </w:rPr>
              <w:fldChar w:fldCharType="end"/>
            </w:r>
          </w:hyperlink>
        </w:p>
        <w:p w:rsidR="009C6581" w:rsidRDefault="00172343">
          <w:pPr>
            <w:pStyle w:val="Spistreci3"/>
            <w:tabs>
              <w:tab w:val="right" w:leader="dot" w:pos="9062"/>
            </w:tabs>
            <w:rPr>
              <w:rFonts w:eastAsiaTheme="minorEastAsia"/>
              <w:noProof/>
              <w:lang w:eastAsia="pl-PL"/>
            </w:rPr>
          </w:pPr>
          <w:hyperlink w:anchor="_Toc496558069" w:history="1">
            <w:r w:rsidR="009C6581" w:rsidRPr="005E302F">
              <w:rPr>
                <w:rStyle w:val="Hipercze"/>
                <w:noProof/>
              </w:rPr>
              <w:t>Infrastruktura związana z bezpieczeństwem mieszkańców</w:t>
            </w:r>
            <w:r w:rsidR="009C6581">
              <w:rPr>
                <w:noProof/>
                <w:webHidden/>
              </w:rPr>
              <w:tab/>
            </w:r>
            <w:r w:rsidR="009C6581">
              <w:rPr>
                <w:noProof/>
                <w:webHidden/>
              </w:rPr>
              <w:fldChar w:fldCharType="begin"/>
            </w:r>
            <w:r w:rsidR="009C6581">
              <w:rPr>
                <w:noProof/>
                <w:webHidden/>
              </w:rPr>
              <w:instrText xml:space="preserve"> PAGEREF _Toc496558069 \h </w:instrText>
            </w:r>
            <w:r w:rsidR="009C6581">
              <w:rPr>
                <w:noProof/>
                <w:webHidden/>
              </w:rPr>
            </w:r>
            <w:r w:rsidR="009C6581">
              <w:rPr>
                <w:noProof/>
                <w:webHidden/>
              </w:rPr>
              <w:fldChar w:fldCharType="separate"/>
            </w:r>
            <w:r w:rsidR="009C6581">
              <w:rPr>
                <w:noProof/>
                <w:webHidden/>
              </w:rPr>
              <w:t>29</w:t>
            </w:r>
            <w:r w:rsidR="009C6581">
              <w:rPr>
                <w:noProof/>
                <w:webHidden/>
              </w:rPr>
              <w:fldChar w:fldCharType="end"/>
            </w:r>
          </w:hyperlink>
        </w:p>
        <w:p w:rsidR="009C6581" w:rsidRDefault="00172343">
          <w:pPr>
            <w:pStyle w:val="Spistreci3"/>
            <w:tabs>
              <w:tab w:val="right" w:leader="dot" w:pos="9062"/>
            </w:tabs>
            <w:rPr>
              <w:rFonts w:eastAsiaTheme="minorEastAsia"/>
              <w:noProof/>
              <w:lang w:eastAsia="pl-PL"/>
            </w:rPr>
          </w:pPr>
          <w:hyperlink w:anchor="_Toc496558070" w:history="1">
            <w:r w:rsidR="009C6581" w:rsidRPr="005E302F">
              <w:rPr>
                <w:rStyle w:val="Hipercze"/>
                <w:noProof/>
              </w:rPr>
              <w:t>Infrastruktura mieszkaniowa</w:t>
            </w:r>
            <w:r w:rsidR="009C6581">
              <w:rPr>
                <w:noProof/>
                <w:webHidden/>
              </w:rPr>
              <w:tab/>
            </w:r>
            <w:r w:rsidR="009C6581">
              <w:rPr>
                <w:noProof/>
                <w:webHidden/>
              </w:rPr>
              <w:fldChar w:fldCharType="begin"/>
            </w:r>
            <w:r w:rsidR="009C6581">
              <w:rPr>
                <w:noProof/>
                <w:webHidden/>
              </w:rPr>
              <w:instrText xml:space="preserve"> PAGEREF _Toc496558070 \h </w:instrText>
            </w:r>
            <w:r w:rsidR="009C6581">
              <w:rPr>
                <w:noProof/>
                <w:webHidden/>
              </w:rPr>
            </w:r>
            <w:r w:rsidR="009C6581">
              <w:rPr>
                <w:noProof/>
                <w:webHidden/>
              </w:rPr>
              <w:fldChar w:fldCharType="separate"/>
            </w:r>
            <w:r w:rsidR="009C6581">
              <w:rPr>
                <w:noProof/>
                <w:webHidden/>
              </w:rPr>
              <w:t>30</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71" w:history="1">
            <w:r w:rsidR="009C6581" w:rsidRPr="005E302F">
              <w:rPr>
                <w:rStyle w:val="Hipercze"/>
                <w:noProof/>
              </w:rPr>
              <w:t>Środowisko i zasoby przyrodnicze</w:t>
            </w:r>
            <w:r w:rsidR="009C6581">
              <w:rPr>
                <w:noProof/>
                <w:webHidden/>
              </w:rPr>
              <w:tab/>
            </w:r>
            <w:r w:rsidR="009C6581">
              <w:rPr>
                <w:noProof/>
                <w:webHidden/>
              </w:rPr>
              <w:fldChar w:fldCharType="begin"/>
            </w:r>
            <w:r w:rsidR="009C6581">
              <w:rPr>
                <w:noProof/>
                <w:webHidden/>
              </w:rPr>
              <w:instrText xml:space="preserve"> PAGEREF _Toc496558071 \h </w:instrText>
            </w:r>
            <w:r w:rsidR="009C6581">
              <w:rPr>
                <w:noProof/>
                <w:webHidden/>
              </w:rPr>
            </w:r>
            <w:r w:rsidR="009C6581">
              <w:rPr>
                <w:noProof/>
                <w:webHidden/>
              </w:rPr>
              <w:fldChar w:fldCharType="separate"/>
            </w:r>
            <w:r w:rsidR="009C6581">
              <w:rPr>
                <w:noProof/>
                <w:webHidden/>
              </w:rPr>
              <w:t>33</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72" w:history="1">
            <w:r w:rsidR="009C6581" w:rsidRPr="005E302F">
              <w:rPr>
                <w:rStyle w:val="Hipercze"/>
                <w:noProof/>
              </w:rPr>
              <w:t>Gospodarka</w:t>
            </w:r>
            <w:r w:rsidR="009C6581">
              <w:rPr>
                <w:noProof/>
                <w:webHidden/>
              </w:rPr>
              <w:tab/>
            </w:r>
            <w:r w:rsidR="009C6581">
              <w:rPr>
                <w:noProof/>
                <w:webHidden/>
              </w:rPr>
              <w:fldChar w:fldCharType="begin"/>
            </w:r>
            <w:r w:rsidR="009C6581">
              <w:rPr>
                <w:noProof/>
                <w:webHidden/>
              </w:rPr>
              <w:instrText xml:space="preserve"> PAGEREF _Toc496558072 \h </w:instrText>
            </w:r>
            <w:r w:rsidR="009C6581">
              <w:rPr>
                <w:noProof/>
                <w:webHidden/>
              </w:rPr>
            </w:r>
            <w:r w:rsidR="009C6581">
              <w:rPr>
                <w:noProof/>
                <w:webHidden/>
              </w:rPr>
              <w:fldChar w:fldCharType="separate"/>
            </w:r>
            <w:r w:rsidR="009C6581">
              <w:rPr>
                <w:noProof/>
                <w:webHidden/>
              </w:rPr>
              <w:t>36</w:t>
            </w:r>
            <w:r w:rsidR="009C6581">
              <w:rPr>
                <w:noProof/>
                <w:webHidden/>
              </w:rPr>
              <w:fldChar w:fldCharType="end"/>
            </w:r>
          </w:hyperlink>
        </w:p>
        <w:p w:rsidR="009C6581" w:rsidRDefault="00172343">
          <w:pPr>
            <w:pStyle w:val="Spistreci3"/>
            <w:tabs>
              <w:tab w:val="right" w:leader="dot" w:pos="9062"/>
            </w:tabs>
            <w:rPr>
              <w:rFonts w:eastAsiaTheme="minorEastAsia"/>
              <w:noProof/>
              <w:lang w:eastAsia="pl-PL"/>
            </w:rPr>
          </w:pPr>
          <w:hyperlink w:anchor="_Toc496558073" w:history="1">
            <w:r w:rsidR="009C6581" w:rsidRPr="005E302F">
              <w:rPr>
                <w:rStyle w:val="Hipercze"/>
                <w:noProof/>
              </w:rPr>
              <w:t>Rolnictwo</w:t>
            </w:r>
            <w:r w:rsidR="009C6581">
              <w:rPr>
                <w:noProof/>
                <w:webHidden/>
              </w:rPr>
              <w:tab/>
            </w:r>
            <w:r w:rsidR="009C6581">
              <w:rPr>
                <w:noProof/>
                <w:webHidden/>
              </w:rPr>
              <w:fldChar w:fldCharType="begin"/>
            </w:r>
            <w:r w:rsidR="009C6581">
              <w:rPr>
                <w:noProof/>
                <w:webHidden/>
              </w:rPr>
              <w:instrText xml:space="preserve"> PAGEREF _Toc496558073 \h </w:instrText>
            </w:r>
            <w:r w:rsidR="009C6581">
              <w:rPr>
                <w:noProof/>
                <w:webHidden/>
              </w:rPr>
            </w:r>
            <w:r w:rsidR="009C6581">
              <w:rPr>
                <w:noProof/>
                <w:webHidden/>
              </w:rPr>
              <w:fldChar w:fldCharType="separate"/>
            </w:r>
            <w:r w:rsidR="009C6581">
              <w:rPr>
                <w:noProof/>
                <w:webHidden/>
              </w:rPr>
              <w:t>36</w:t>
            </w:r>
            <w:r w:rsidR="009C6581">
              <w:rPr>
                <w:noProof/>
                <w:webHidden/>
              </w:rPr>
              <w:fldChar w:fldCharType="end"/>
            </w:r>
          </w:hyperlink>
        </w:p>
        <w:p w:rsidR="009C6581" w:rsidRDefault="00172343">
          <w:pPr>
            <w:pStyle w:val="Spistreci3"/>
            <w:tabs>
              <w:tab w:val="right" w:leader="dot" w:pos="9062"/>
            </w:tabs>
            <w:rPr>
              <w:rFonts w:eastAsiaTheme="minorEastAsia"/>
              <w:noProof/>
              <w:lang w:eastAsia="pl-PL"/>
            </w:rPr>
          </w:pPr>
          <w:hyperlink w:anchor="_Toc496558074" w:history="1">
            <w:r w:rsidR="009C6581" w:rsidRPr="005E302F">
              <w:rPr>
                <w:rStyle w:val="Hipercze"/>
                <w:noProof/>
              </w:rPr>
              <w:t>Podmioty gospodarcze</w:t>
            </w:r>
            <w:r w:rsidR="009C6581">
              <w:rPr>
                <w:noProof/>
                <w:webHidden/>
              </w:rPr>
              <w:tab/>
            </w:r>
            <w:r w:rsidR="009C6581">
              <w:rPr>
                <w:noProof/>
                <w:webHidden/>
              </w:rPr>
              <w:fldChar w:fldCharType="begin"/>
            </w:r>
            <w:r w:rsidR="009C6581">
              <w:rPr>
                <w:noProof/>
                <w:webHidden/>
              </w:rPr>
              <w:instrText xml:space="preserve"> PAGEREF _Toc496558074 \h </w:instrText>
            </w:r>
            <w:r w:rsidR="009C6581">
              <w:rPr>
                <w:noProof/>
                <w:webHidden/>
              </w:rPr>
            </w:r>
            <w:r w:rsidR="009C6581">
              <w:rPr>
                <w:noProof/>
                <w:webHidden/>
              </w:rPr>
              <w:fldChar w:fldCharType="separate"/>
            </w:r>
            <w:r w:rsidR="009C6581">
              <w:rPr>
                <w:noProof/>
                <w:webHidden/>
              </w:rPr>
              <w:t>38</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75" w:history="1">
            <w:r w:rsidR="009C6581" w:rsidRPr="005E302F">
              <w:rPr>
                <w:rStyle w:val="Hipercze"/>
                <w:noProof/>
              </w:rPr>
              <w:t>Tereny inwestycyjne</w:t>
            </w:r>
            <w:r w:rsidR="009C6581">
              <w:rPr>
                <w:noProof/>
                <w:webHidden/>
              </w:rPr>
              <w:tab/>
            </w:r>
            <w:r w:rsidR="009C6581">
              <w:rPr>
                <w:noProof/>
                <w:webHidden/>
              </w:rPr>
              <w:fldChar w:fldCharType="begin"/>
            </w:r>
            <w:r w:rsidR="009C6581">
              <w:rPr>
                <w:noProof/>
                <w:webHidden/>
              </w:rPr>
              <w:instrText xml:space="preserve"> PAGEREF _Toc496558075 \h </w:instrText>
            </w:r>
            <w:r w:rsidR="009C6581">
              <w:rPr>
                <w:noProof/>
                <w:webHidden/>
              </w:rPr>
            </w:r>
            <w:r w:rsidR="009C6581">
              <w:rPr>
                <w:noProof/>
                <w:webHidden/>
              </w:rPr>
              <w:fldChar w:fldCharType="separate"/>
            </w:r>
            <w:r w:rsidR="009C6581">
              <w:rPr>
                <w:noProof/>
                <w:webHidden/>
              </w:rPr>
              <w:t>40</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76" w:history="1">
            <w:r w:rsidR="009C6581" w:rsidRPr="005E302F">
              <w:rPr>
                <w:rStyle w:val="Hipercze"/>
                <w:noProof/>
              </w:rPr>
              <w:t>Aktywność społeczna mieszkańców</w:t>
            </w:r>
            <w:r w:rsidR="009C6581">
              <w:rPr>
                <w:noProof/>
                <w:webHidden/>
              </w:rPr>
              <w:tab/>
            </w:r>
            <w:r w:rsidR="009C6581">
              <w:rPr>
                <w:noProof/>
                <w:webHidden/>
              </w:rPr>
              <w:fldChar w:fldCharType="begin"/>
            </w:r>
            <w:r w:rsidR="009C6581">
              <w:rPr>
                <w:noProof/>
                <w:webHidden/>
              </w:rPr>
              <w:instrText xml:space="preserve"> PAGEREF _Toc496558076 \h </w:instrText>
            </w:r>
            <w:r w:rsidR="009C6581">
              <w:rPr>
                <w:noProof/>
                <w:webHidden/>
              </w:rPr>
            </w:r>
            <w:r w:rsidR="009C6581">
              <w:rPr>
                <w:noProof/>
                <w:webHidden/>
              </w:rPr>
              <w:fldChar w:fldCharType="separate"/>
            </w:r>
            <w:r w:rsidR="009C6581">
              <w:rPr>
                <w:noProof/>
                <w:webHidden/>
              </w:rPr>
              <w:t>42</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77" w:history="1">
            <w:r w:rsidR="009C6581" w:rsidRPr="005E302F">
              <w:rPr>
                <w:rStyle w:val="Hipercze"/>
                <w:noProof/>
              </w:rPr>
              <w:t>Podsumowanie szczegółowej diagnozy – mocne i słabe strony</w:t>
            </w:r>
            <w:r w:rsidR="009C6581">
              <w:rPr>
                <w:noProof/>
                <w:webHidden/>
              </w:rPr>
              <w:tab/>
            </w:r>
            <w:r w:rsidR="009C6581">
              <w:rPr>
                <w:noProof/>
                <w:webHidden/>
              </w:rPr>
              <w:fldChar w:fldCharType="begin"/>
            </w:r>
            <w:r w:rsidR="009C6581">
              <w:rPr>
                <w:noProof/>
                <w:webHidden/>
              </w:rPr>
              <w:instrText xml:space="preserve"> PAGEREF _Toc496558077 \h </w:instrText>
            </w:r>
            <w:r w:rsidR="009C6581">
              <w:rPr>
                <w:noProof/>
                <w:webHidden/>
              </w:rPr>
            </w:r>
            <w:r w:rsidR="009C6581">
              <w:rPr>
                <w:noProof/>
                <w:webHidden/>
              </w:rPr>
              <w:fldChar w:fldCharType="separate"/>
            </w:r>
            <w:r w:rsidR="009C6581">
              <w:rPr>
                <w:noProof/>
                <w:webHidden/>
              </w:rPr>
              <w:t>44</w:t>
            </w:r>
            <w:r w:rsidR="009C6581">
              <w:rPr>
                <w:noProof/>
                <w:webHidden/>
              </w:rPr>
              <w:fldChar w:fldCharType="end"/>
            </w:r>
          </w:hyperlink>
        </w:p>
        <w:p w:rsidR="009C6581" w:rsidRDefault="00172343">
          <w:pPr>
            <w:pStyle w:val="Spistreci1"/>
            <w:tabs>
              <w:tab w:val="right" w:leader="dot" w:pos="9062"/>
            </w:tabs>
            <w:rPr>
              <w:rFonts w:eastAsiaTheme="minorEastAsia"/>
              <w:noProof/>
              <w:lang w:eastAsia="pl-PL"/>
            </w:rPr>
          </w:pPr>
          <w:hyperlink w:anchor="_Toc496558078" w:history="1">
            <w:r w:rsidR="009C6581" w:rsidRPr="005E302F">
              <w:rPr>
                <w:rStyle w:val="Hipercze"/>
                <w:noProof/>
              </w:rPr>
              <w:t>Analiza według kryteriów delimitacji obszaru zdegradowanego i obszaru rewitalizacji według instrukcji Samorządu Województwa Podkarpackiego</w:t>
            </w:r>
            <w:r w:rsidR="009C6581">
              <w:rPr>
                <w:noProof/>
                <w:webHidden/>
              </w:rPr>
              <w:tab/>
            </w:r>
            <w:r w:rsidR="009C6581">
              <w:rPr>
                <w:noProof/>
                <w:webHidden/>
              </w:rPr>
              <w:fldChar w:fldCharType="begin"/>
            </w:r>
            <w:r w:rsidR="009C6581">
              <w:rPr>
                <w:noProof/>
                <w:webHidden/>
              </w:rPr>
              <w:instrText xml:space="preserve"> PAGEREF _Toc496558078 \h </w:instrText>
            </w:r>
            <w:r w:rsidR="009C6581">
              <w:rPr>
                <w:noProof/>
                <w:webHidden/>
              </w:rPr>
            </w:r>
            <w:r w:rsidR="009C6581">
              <w:rPr>
                <w:noProof/>
                <w:webHidden/>
              </w:rPr>
              <w:fldChar w:fldCharType="separate"/>
            </w:r>
            <w:r w:rsidR="009C6581">
              <w:rPr>
                <w:noProof/>
                <w:webHidden/>
              </w:rPr>
              <w:t>45</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79" w:history="1">
            <w:r w:rsidR="009C6581" w:rsidRPr="005E302F">
              <w:rPr>
                <w:rStyle w:val="Hipercze"/>
                <w:noProof/>
              </w:rPr>
              <w:t>Kategoria: demografia</w:t>
            </w:r>
            <w:r w:rsidR="009C6581">
              <w:rPr>
                <w:noProof/>
                <w:webHidden/>
              </w:rPr>
              <w:tab/>
            </w:r>
            <w:r w:rsidR="009C6581">
              <w:rPr>
                <w:noProof/>
                <w:webHidden/>
              </w:rPr>
              <w:fldChar w:fldCharType="begin"/>
            </w:r>
            <w:r w:rsidR="009C6581">
              <w:rPr>
                <w:noProof/>
                <w:webHidden/>
              </w:rPr>
              <w:instrText xml:space="preserve"> PAGEREF _Toc496558079 \h </w:instrText>
            </w:r>
            <w:r w:rsidR="009C6581">
              <w:rPr>
                <w:noProof/>
                <w:webHidden/>
              </w:rPr>
            </w:r>
            <w:r w:rsidR="009C6581">
              <w:rPr>
                <w:noProof/>
                <w:webHidden/>
              </w:rPr>
              <w:fldChar w:fldCharType="separate"/>
            </w:r>
            <w:r w:rsidR="009C6581">
              <w:rPr>
                <w:noProof/>
                <w:webHidden/>
              </w:rPr>
              <w:t>46</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80" w:history="1">
            <w:r w:rsidR="009C6581" w:rsidRPr="005E302F">
              <w:rPr>
                <w:rStyle w:val="Hipercze"/>
                <w:noProof/>
              </w:rPr>
              <w:t>Kategoria: rynek pracy</w:t>
            </w:r>
            <w:r w:rsidR="009C6581">
              <w:rPr>
                <w:noProof/>
                <w:webHidden/>
              </w:rPr>
              <w:tab/>
            </w:r>
            <w:r w:rsidR="009C6581">
              <w:rPr>
                <w:noProof/>
                <w:webHidden/>
              </w:rPr>
              <w:fldChar w:fldCharType="begin"/>
            </w:r>
            <w:r w:rsidR="009C6581">
              <w:rPr>
                <w:noProof/>
                <w:webHidden/>
              </w:rPr>
              <w:instrText xml:space="preserve"> PAGEREF _Toc496558080 \h </w:instrText>
            </w:r>
            <w:r w:rsidR="009C6581">
              <w:rPr>
                <w:noProof/>
                <w:webHidden/>
              </w:rPr>
            </w:r>
            <w:r w:rsidR="009C6581">
              <w:rPr>
                <w:noProof/>
                <w:webHidden/>
              </w:rPr>
              <w:fldChar w:fldCharType="separate"/>
            </w:r>
            <w:r w:rsidR="009C6581">
              <w:rPr>
                <w:noProof/>
                <w:webHidden/>
              </w:rPr>
              <w:t>50</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81" w:history="1">
            <w:r w:rsidR="009C6581" w:rsidRPr="005E302F">
              <w:rPr>
                <w:rStyle w:val="Hipercze"/>
                <w:noProof/>
              </w:rPr>
              <w:t>Kategoria: pomoc społeczna</w:t>
            </w:r>
            <w:r w:rsidR="009C6581">
              <w:rPr>
                <w:noProof/>
                <w:webHidden/>
              </w:rPr>
              <w:tab/>
            </w:r>
            <w:r w:rsidR="009C6581">
              <w:rPr>
                <w:noProof/>
                <w:webHidden/>
              </w:rPr>
              <w:fldChar w:fldCharType="begin"/>
            </w:r>
            <w:r w:rsidR="009C6581">
              <w:rPr>
                <w:noProof/>
                <w:webHidden/>
              </w:rPr>
              <w:instrText xml:space="preserve"> PAGEREF _Toc496558081 \h </w:instrText>
            </w:r>
            <w:r w:rsidR="009C6581">
              <w:rPr>
                <w:noProof/>
                <w:webHidden/>
              </w:rPr>
            </w:r>
            <w:r w:rsidR="009C6581">
              <w:rPr>
                <w:noProof/>
                <w:webHidden/>
              </w:rPr>
              <w:fldChar w:fldCharType="separate"/>
            </w:r>
            <w:r w:rsidR="009C6581">
              <w:rPr>
                <w:noProof/>
                <w:webHidden/>
              </w:rPr>
              <w:t>52</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82" w:history="1">
            <w:r w:rsidR="009C6581" w:rsidRPr="005E302F">
              <w:rPr>
                <w:rStyle w:val="Hipercze"/>
                <w:noProof/>
              </w:rPr>
              <w:t>Kategoria: edukacja</w:t>
            </w:r>
            <w:r w:rsidR="009C6581">
              <w:rPr>
                <w:noProof/>
                <w:webHidden/>
              </w:rPr>
              <w:tab/>
            </w:r>
            <w:r w:rsidR="009C6581">
              <w:rPr>
                <w:noProof/>
                <w:webHidden/>
              </w:rPr>
              <w:fldChar w:fldCharType="begin"/>
            </w:r>
            <w:r w:rsidR="009C6581">
              <w:rPr>
                <w:noProof/>
                <w:webHidden/>
              </w:rPr>
              <w:instrText xml:space="preserve"> PAGEREF _Toc496558082 \h </w:instrText>
            </w:r>
            <w:r w:rsidR="009C6581">
              <w:rPr>
                <w:noProof/>
                <w:webHidden/>
              </w:rPr>
            </w:r>
            <w:r w:rsidR="009C6581">
              <w:rPr>
                <w:noProof/>
                <w:webHidden/>
              </w:rPr>
              <w:fldChar w:fldCharType="separate"/>
            </w:r>
            <w:r w:rsidR="009C6581">
              <w:rPr>
                <w:noProof/>
                <w:webHidden/>
              </w:rPr>
              <w:t>54</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83" w:history="1">
            <w:r w:rsidR="009C6581" w:rsidRPr="005E302F">
              <w:rPr>
                <w:rStyle w:val="Hipercze"/>
                <w:noProof/>
              </w:rPr>
              <w:t>Kategoria: podmioty gospodarcze</w:t>
            </w:r>
            <w:r w:rsidR="009C6581">
              <w:rPr>
                <w:noProof/>
                <w:webHidden/>
              </w:rPr>
              <w:tab/>
            </w:r>
            <w:r w:rsidR="009C6581">
              <w:rPr>
                <w:noProof/>
                <w:webHidden/>
              </w:rPr>
              <w:fldChar w:fldCharType="begin"/>
            </w:r>
            <w:r w:rsidR="009C6581">
              <w:rPr>
                <w:noProof/>
                <w:webHidden/>
              </w:rPr>
              <w:instrText xml:space="preserve"> PAGEREF _Toc496558083 \h </w:instrText>
            </w:r>
            <w:r w:rsidR="009C6581">
              <w:rPr>
                <w:noProof/>
                <w:webHidden/>
              </w:rPr>
            </w:r>
            <w:r w:rsidR="009C6581">
              <w:rPr>
                <w:noProof/>
                <w:webHidden/>
              </w:rPr>
              <w:fldChar w:fldCharType="separate"/>
            </w:r>
            <w:r w:rsidR="009C6581">
              <w:rPr>
                <w:noProof/>
                <w:webHidden/>
              </w:rPr>
              <w:t>54</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84" w:history="1">
            <w:r w:rsidR="009C6581" w:rsidRPr="005E302F">
              <w:rPr>
                <w:rStyle w:val="Hipercze"/>
                <w:noProof/>
              </w:rPr>
              <w:t>Kategoria: bezpieczeństwo publiczne</w:t>
            </w:r>
            <w:r w:rsidR="009C6581">
              <w:rPr>
                <w:noProof/>
                <w:webHidden/>
              </w:rPr>
              <w:tab/>
            </w:r>
            <w:r w:rsidR="009C6581">
              <w:rPr>
                <w:noProof/>
                <w:webHidden/>
              </w:rPr>
              <w:fldChar w:fldCharType="begin"/>
            </w:r>
            <w:r w:rsidR="009C6581">
              <w:rPr>
                <w:noProof/>
                <w:webHidden/>
              </w:rPr>
              <w:instrText xml:space="preserve"> PAGEREF _Toc496558084 \h </w:instrText>
            </w:r>
            <w:r w:rsidR="009C6581">
              <w:rPr>
                <w:noProof/>
                <w:webHidden/>
              </w:rPr>
            </w:r>
            <w:r w:rsidR="009C6581">
              <w:rPr>
                <w:noProof/>
                <w:webHidden/>
              </w:rPr>
              <w:fldChar w:fldCharType="separate"/>
            </w:r>
            <w:r w:rsidR="009C6581">
              <w:rPr>
                <w:noProof/>
                <w:webHidden/>
              </w:rPr>
              <w:t>56</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85" w:history="1">
            <w:r w:rsidR="009C6581" w:rsidRPr="005E302F">
              <w:rPr>
                <w:rStyle w:val="Hipercze"/>
                <w:noProof/>
              </w:rPr>
              <w:t>Kategoria: uwarunkowania przestrzenne</w:t>
            </w:r>
            <w:r w:rsidR="009C6581">
              <w:rPr>
                <w:noProof/>
                <w:webHidden/>
              </w:rPr>
              <w:tab/>
            </w:r>
            <w:r w:rsidR="009C6581">
              <w:rPr>
                <w:noProof/>
                <w:webHidden/>
              </w:rPr>
              <w:fldChar w:fldCharType="begin"/>
            </w:r>
            <w:r w:rsidR="009C6581">
              <w:rPr>
                <w:noProof/>
                <w:webHidden/>
              </w:rPr>
              <w:instrText xml:space="preserve"> PAGEREF _Toc496558085 \h </w:instrText>
            </w:r>
            <w:r w:rsidR="009C6581">
              <w:rPr>
                <w:noProof/>
                <w:webHidden/>
              </w:rPr>
            </w:r>
            <w:r w:rsidR="009C6581">
              <w:rPr>
                <w:noProof/>
                <w:webHidden/>
              </w:rPr>
              <w:fldChar w:fldCharType="separate"/>
            </w:r>
            <w:r w:rsidR="009C6581">
              <w:rPr>
                <w:noProof/>
                <w:webHidden/>
              </w:rPr>
              <w:t>56</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86" w:history="1">
            <w:r w:rsidR="009C6581" w:rsidRPr="005E302F">
              <w:rPr>
                <w:rStyle w:val="Hipercze"/>
                <w:noProof/>
              </w:rPr>
              <w:t>Kategoria: integracja społeczna</w:t>
            </w:r>
            <w:r w:rsidR="009C6581">
              <w:rPr>
                <w:noProof/>
                <w:webHidden/>
              </w:rPr>
              <w:tab/>
            </w:r>
            <w:r w:rsidR="009C6581">
              <w:rPr>
                <w:noProof/>
                <w:webHidden/>
              </w:rPr>
              <w:fldChar w:fldCharType="begin"/>
            </w:r>
            <w:r w:rsidR="009C6581">
              <w:rPr>
                <w:noProof/>
                <w:webHidden/>
              </w:rPr>
              <w:instrText xml:space="preserve"> PAGEREF _Toc496558086 \h </w:instrText>
            </w:r>
            <w:r w:rsidR="009C6581">
              <w:rPr>
                <w:noProof/>
                <w:webHidden/>
              </w:rPr>
            </w:r>
            <w:r w:rsidR="009C6581">
              <w:rPr>
                <w:noProof/>
                <w:webHidden/>
              </w:rPr>
              <w:fldChar w:fldCharType="separate"/>
            </w:r>
            <w:r w:rsidR="009C6581">
              <w:rPr>
                <w:noProof/>
                <w:webHidden/>
              </w:rPr>
              <w:t>56</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87" w:history="1">
            <w:r w:rsidR="009C6581" w:rsidRPr="005E302F">
              <w:rPr>
                <w:rStyle w:val="Hipercze"/>
                <w:noProof/>
              </w:rPr>
              <w:t>Kategoria: ochrona środowiska</w:t>
            </w:r>
            <w:r w:rsidR="009C6581">
              <w:rPr>
                <w:noProof/>
                <w:webHidden/>
              </w:rPr>
              <w:tab/>
            </w:r>
            <w:r w:rsidR="009C6581">
              <w:rPr>
                <w:noProof/>
                <w:webHidden/>
              </w:rPr>
              <w:fldChar w:fldCharType="begin"/>
            </w:r>
            <w:r w:rsidR="009C6581">
              <w:rPr>
                <w:noProof/>
                <w:webHidden/>
              </w:rPr>
              <w:instrText xml:space="preserve"> PAGEREF _Toc496558087 \h </w:instrText>
            </w:r>
            <w:r w:rsidR="009C6581">
              <w:rPr>
                <w:noProof/>
                <w:webHidden/>
              </w:rPr>
            </w:r>
            <w:r w:rsidR="009C6581">
              <w:rPr>
                <w:noProof/>
                <w:webHidden/>
              </w:rPr>
              <w:fldChar w:fldCharType="separate"/>
            </w:r>
            <w:r w:rsidR="009C6581">
              <w:rPr>
                <w:noProof/>
                <w:webHidden/>
              </w:rPr>
              <w:t>58</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88" w:history="1">
            <w:r w:rsidR="009C6581" w:rsidRPr="005E302F">
              <w:rPr>
                <w:rStyle w:val="Hipercze"/>
                <w:noProof/>
              </w:rPr>
              <w:t>Obszar zdegradowany - podsumowanie</w:t>
            </w:r>
            <w:r w:rsidR="009C6581">
              <w:rPr>
                <w:noProof/>
                <w:webHidden/>
              </w:rPr>
              <w:tab/>
            </w:r>
            <w:r w:rsidR="009C6581">
              <w:rPr>
                <w:noProof/>
                <w:webHidden/>
              </w:rPr>
              <w:fldChar w:fldCharType="begin"/>
            </w:r>
            <w:r w:rsidR="009C6581">
              <w:rPr>
                <w:noProof/>
                <w:webHidden/>
              </w:rPr>
              <w:instrText xml:space="preserve"> PAGEREF _Toc496558088 \h </w:instrText>
            </w:r>
            <w:r w:rsidR="009C6581">
              <w:rPr>
                <w:noProof/>
                <w:webHidden/>
              </w:rPr>
            </w:r>
            <w:r w:rsidR="009C6581">
              <w:rPr>
                <w:noProof/>
                <w:webHidden/>
              </w:rPr>
              <w:fldChar w:fldCharType="separate"/>
            </w:r>
            <w:r w:rsidR="009C6581">
              <w:rPr>
                <w:noProof/>
                <w:webHidden/>
              </w:rPr>
              <w:t>59</w:t>
            </w:r>
            <w:r w:rsidR="009C6581">
              <w:rPr>
                <w:noProof/>
                <w:webHidden/>
              </w:rPr>
              <w:fldChar w:fldCharType="end"/>
            </w:r>
          </w:hyperlink>
        </w:p>
        <w:p w:rsidR="009C6581" w:rsidRDefault="00172343">
          <w:pPr>
            <w:pStyle w:val="Spistreci1"/>
            <w:tabs>
              <w:tab w:val="right" w:leader="dot" w:pos="9062"/>
            </w:tabs>
            <w:rPr>
              <w:rFonts w:eastAsiaTheme="minorEastAsia"/>
              <w:noProof/>
              <w:lang w:eastAsia="pl-PL"/>
            </w:rPr>
          </w:pPr>
          <w:hyperlink w:anchor="_Toc496558089" w:history="1">
            <w:r w:rsidR="009C6581" w:rsidRPr="005E302F">
              <w:rPr>
                <w:rStyle w:val="Hipercze"/>
                <w:noProof/>
              </w:rPr>
              <w:t>Obszar rewitalizacji</w:t>
            </w:r>
            <w:r w:rsidR="009C6581">
              <w:rPr>
                <w:noProof/>
                <w:webHidden/>
              </w:rPr>
              <w:tab/>
            </w:r>
            <w:r w:rsidR="009C6581">
              <w:rPr>
                <w:noProof/>
                <w:webHidden/>
              </w:rPr>
              <w:fldChar w:fldCharType="begin"/>
            </w:r>
            <w:r w:rsidR="009C6581">
              <w:rPr>
                <w:noProof/>
                <w:webHidden/>
              </w:rPr>
              <w:instrText xml:space="preserve"> PAGEREF _Toc496558089 \h </w:instrText>
            </w:r>
            <w:r w:rsidR="009C6581">
              <w:rPr>
                <w:noProof/>
                <w:webHidden/>
              </w:rPr>
            </w:r>
            <w:r w:rsidR="009C6581">
              <w:rPr>
                <w:noProof/>
                <w:webHidden/>
              </w:rPr>
              <w:fldChar w:fldCharType="separate"/>
            </w:r>
            <w:r w:rsidR="009C6581">
              <w:rPr>
                <w:noProof/>
                <w:webHidden/>
              </w:rPr>
              <w:t>60</w:t>
            </w:r>
            <w:r w:rsidR="009C6581">
              <w:rPr>
                <w:noProof/>
                <w:webHidden/>
              </w:rPr>
              <w:fldChar w:fldCharType="end"/>
            </w:r>
          </w:hyperlink>
        </w:p>
        <w:p w:rsidR="009C6581" w:rsidRDefault="00172343">
          <w:pPr>
            <w:pStyle w:val="Spistreci1"/>
            <w:tabs>
              <w:tab w:val="right" w:leader="dot" w:pos="9062"/>
            </w:tabs>
            <w:rPr>
              <w:rFonts w:eastAsiaTheme="minorEastAsia"/>
              <w:noProof/>
              <w:lang w:eastAsia="pl-PL"/>
            </w:rPr>
          </w:pPr>
          <w:hyperlink w:anchor="_Toc496558090" w:history="1">
            <w:r w:rsidR="009C6581" w:rsidRPr="005E302F">
              <w:rPr>
                <w:rStyle w:val="Hipercze"/>
                <w:noProof/>
              </w:rPr>
              <w:t>Szczegółowa diagnoza obszaru rewitalizacji</w:t>
            </w:r>
            <w:r w:rsidR="009C6581">
              <w:rPr>
                <w:noProof/>
                <w:webHidden/>
              </w:rPr>
              <w:tab/>
            </w:r>
            <w:r w:rsidR="009C6581">
              <w:rPr>
                <w:noProof/>
                <w:webHidden/>
              </w:rPr>
              <w:fldChar w:fldCharType="begin"/>
            </w:r>
            <w:r w:rsidR="009C6581">
              <w:rPr>
                <w:noProof/>
                <w:webHidden/>
              </w:rPr>
              <w:instrText xml:space="preserve"> PAGEREF _Toc496558090 \h </w:instrText>
            </w:r>
            <w:r w:rsidR="009C6581">
              <w:rPr>
                <w:noProof/>
                <w:webHidden/>
              </w:rPr>
            </w:r>
            <w:r w:rsidR="009C6581">
              <w:rPr>
                <w:noProof/>
                <w:webHidden/>
              </w:rPr>
              <w:fldChar w:fldCharType="separate"/>
            </w:r>
            <w:r w:rsidR="009C6581">
              <w:rPr>
                <w:noProof/>
                <w:webHidden/>
              </w:rPr>
              <w:t>62</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91" w:history="1">
            <w:r w:rsidR="009C6581" w:rsidRPr="005E302F">
              <w:rPr>
                <w:rStyle w:val="Hipercze"/>
                <w:noProof/>
              </w:rPr>
              <w:t>Warunki delimitacji, o których mowa w Ustawie o rewitalizacji i Instrukcji przygotowania programów rewitalizacji w zakresie wsparcia w ramach Regionalnego Programu Operacyjnego Województwa Podkarpackiego na lata 2014-2020</w:t>
            </w:r>
            <w:r w:rsidR="009C6581">
              <w:rPr>
                <w:noProof/>
                <w:webHidden/>
              </w:rPr>
              <w:tab/>
            </w:r>
            <w:r w:rsidR="009C6581">
              <w:rPr>
                <w:noProof/>
                <w:webHidden/>
              </w:rPr>
              <w:fldChar w:fldCharType="begin"/>
            </w:r>
            <w:r w:rsidR="009C6581">
              <w:rPr>
                <w:noProof/>
                <w:webHidden/>
              </w:rPr>
              <w:instrText xml:space="preserve"> PAGEREF _Toc496558091 \h </w:instrText>
            </w:r>
            <w:r w:rsidR="009C6581">
              <w:rPr>
                <w:noProof/>
                <w:webHidden/>
              </w:rPr>
            </w:r>
            <w:r w:rsidR="009C6581">
              <w:rPr>
                <w:noProof/>
                <w:webHidden/>
              </w:rPr>
              <w:fldChar w:fldCharType="separate"/>
            </w:r>
            <w:r w:rsidR="009C6581">
              <w:rPr>
                <w:noProof/>
                <w:webHidden/>
              </w:rPr>
              <w:t>62</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92" w:history="1">
            <w:r w:rsidR="009C6581" w:rsidRPr="005E302F">
              <w:rPr>
                <w:rStyle w:val="Hipercze"/>
                <w:noProof/>
              </w:rPr>
              <w:t>Podobszar Głogowiec</w:t>
            </w:r>
            <w:r w:rsidR="009C6581">
              <w:rPr>
                <w:noProof/>
                <w:webHidden/>
              </w:rPr>
              <w:tab/>
            </w:r>
            <w:r w:rsidR="009C6581">
              <w:rPr>
                <w:noProof/>
                <w:webHidden/>
              </w:rPr>
              <w:fldChar w:fldCharType="begin"/>
            </w:r>
            <w:r w:rsidR="009C6581">
              <w:rPr>
                <w:noProof/>
                <w:webHidden/>
              </w:rPr>
              <w:instrText xml:space="preserve"> PAGEREF _Toc496558092 \h </w:instrText>
            </w:r>
            <w:r w:rsidR="009C6581">
              <w:rPr>
                <w:noProof/>
                <w:webHidden/>
              </w:rPr>
            </w:r>
            <w:r w:rsidR="009C6581">
              <w:rPr>
                <w:noProof/>
                <w:webHidden/>
              </w:rPr>
              <w:fldChar w:fldCharType="separate"/>
            </w:r>
            <w:r w:rsidR="009C6581">
              <w:rPr>
                <w:noProof/>
                <w:webHidden/>
              </w:rPr>
              <w:t>64</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93" w:history="1">
            <w:r w:rsidR="009C6581" w:rsidRPr="005E302F">
              <w:rPr>
                <w:rStyle w:val="Hipercze"/>
                <w:noProof/>
              </w:rPr>
              <w:t>Podobszar Tryńcza – Wólka Małkowa</w:t>
            </w:r>
            <w:r w:rsidR="009C6581">
              <w:rPr>
                <w:noProof/>
                <w:webHidden/>
              </w:rPr>
              <w:tab/>
            </w:r>
            <w:r w:rsidR="009C6581">
              <w:rPr>
                <w:noProof/>
                <w:webHidden/>
              </w:rPr>
              <w:fldChar w:fldCharType="begin"/>
            </w:r>
            <w:r w:rsidR="009C6581">
              <w:rPr>
                <w:noProof/>
                <w:webHidden/>
              </w:rPr>
              <w:instrText xml:space="preserve"> PAGEREF _Toc496558093 \h </w:instrText>
            </w:r>
            <w:r w:rsidR="009C6581">
              <w:rPr>
                <w:noProof/>
                <w:webHidden/>
              </w:rPr>
            </w:r>
            <w:r w:rsidR="009C6581">
              <w:rPr>
                <w:noProof/>
                <w:webHidden/>
              </w:rPr>
              <w:fldChar w:fldCharType="separate"/>
            </w:r>
            <w:r w:rsidR="009C6581">
              <w:rPr>
                <w:noProof/>
                <w:webHidden/>
              </w:rPr>
              <w:t>65</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94" w:history="1">
            <w:r w:rsidR="009C6581" w:rsidRPr="005E302F">
              <w:rPr>
                <w:rStyle w:val="Hipercze"/>
                <w:noProof/>
              </w:rPr>
              <w:t>Podobszar Gniewczyna Łańcucka</w:t>
            </w:r>
            <w:r w:rsidR="009C6581">
              <w:rPr>
                <w:noProof/>
                <w:webHidden/>
              </w:rPr>
              <w:tab/>
            </w:r>
            <w:r w:rsidR="009C6581">
              <w:rPr>
                <w:noProof/>
                <w:webHidden/>
              </w:rPr>
              <w:fldChar w:fldCharType="begin"/>
            </w:r>
            <w:r w:rsidR="009C6581">
              <w:rPr>
                <w:noProof/>
                <w:webHidden/>
              </w:rPr>
              <w:instrText xml:space="preserve"> PAGEREF _Toc496558094 \h </w:instrText>
            </w:r>
            <w:r w:rsidR="009C6581">
              <w:rPr>
                <w:noProof/>
                <w:webHidden/>
              </w:rPr>
            </w:r>
            <w:r w:rsidR="009C6581">
              <w:rPr>
                <w:noProof/>
                <w:webHidden/>
              </w:rPr>
              <w:fldChar w:fldCharType="separate"/>
            </w:r>
            <w:r w:rsidR="009C6581">
              <w:rPr>
                <w:noProof/>
                <w:webHidden/>
              </w:rPr>
              <w:t>66</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95" w:history="1">
            <w:r w:rsidR="009C6581" w:rsidRPr="005E302F">
              <w:rPr>
                <w:rStyle w:val="Hipercze"/>
                <w:noProof/>
              </w:rPr>
              <w:t>Podobszar Jagiełła</w:t>
            </w:r>
            <w:r w:rsidR="009C6581">
              <w:rPr>
                <w:noProof/>
                <w:webHidden/>
              </w:rPr>
              <w:tab/>
            </w:r>
            <w:r w:rsidR="009C6581">
              <w:rPr>
                <w:noProof/>
                <w:webHidden/>
              </w:rPr>
              <w:fldChar w:fldCharType="begin"/>
            </w:r>
            <w:r w:rsidR="009C6581">
              <w:rPr>
                <w:noProof/>
                <w:webHidden/>
              </w:rPr>
              <w:instrText xml:space="preserve"> PAGEREF _Toc496558095 \h </w:instrText>
            </w:r>
            <w:r w:rsidR="009C6581">
              <w:rPr>
                <w:noProof/>
                <w:webHidden/>
              </w:rPr>
            </w:r>
            <w:r w:rsidR="009C6581">
              <w:rPr>
                <w:noProof/>
                <w:webHidden/>
              </w:rPr>
              <w:fldChar w:fldCharType="separate"/>
            </w:r>
            <w:r w:rsidR="009C6581">
              <w:rPr>
                <w:noProof/>
                <w:webHidden/>
              </w:rPr>
              <w:t>67</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96" w:history="1">
            <w:r w:rsidR="009C6581" w:rsidRPr="005E302F">
              <w:rPr>
                <w:rStyle w:val="Hipercze"/>
                <w:noProof/>
              </w:rPr>
              <w:t>Uzasadnienie dla objęcia obszarem rewitalizacji obszarów poprzemysłowych</w:t>
            </w:r>
            <w:r w:rsidR="009C6581">
              <w:rPr>
                <w:noProof/>
                <w:webHidden/>
              </w:rPr>
              <w:tab/>
            </w:r>
            <w:r w:rsidR="009C6581">
              <w:rPr>
                <w:noProof/>
                <w:webHidden/>
              </w:rPr>
              <w:fldChar w:fldCharType="begin"/>
            </w:r>
            <w:r w:rsidR="009C6581">
              <w:rPr>
                <w:noProof/>
                <w:webHidden/>
              </w:rPr>
              <w:instrText xml:space="preserve"> PAGEREF _Toc496558096 \h </w:instrText>
            </w:r>
            <w:r w:rsidR="009C6581">
              <w:rPr>
                <w:noProof/>
                <w:webHidden/>
              </w:rPr>
            </w:r>
            <w:r w:rsidR="009C6581">
              <w:rPr>
                <w:noProof/>
                <w:webHidden/>
              </w:rPr>
              <w:fldChar w:fldCharType="separate"/>
            </w:r>
            <w:r w:rsidR="009C6581">
              <w:rPr>
                <w:noProof/>
                <w:webHidden/>
              </w:rPr>
              <w:t>68</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97" w:history="1">
            <w:r w:rsidR="009C6581" w:rsidRPr="005E302F">
              <w:rPr>
                <w:rStyle w:val="Hipercze"/>
                <w:noProof/>
              </w:rPr>
              <w:t>Spis map:</w:t>
            </w:r>
            <w:r w:rsidR="009C6581">
              <w:rPr>
                <w:noProof/>
                <w:webHidden/>
              </w:rPr>
              <w:tab/>
            </w:r>
            <w:r w:rsidR="009C6581">
              <w:rPr>
                <w:noProof/>
                <w:webHidden/>
              </w:rPr>
              <w:fldChar w:fldCharType="begin"/>
            </w:r>
            <w:r w:rsidR="009C6581">
              <w:rPr>
                <w:noProof/>
                <w:webHidden/>
              </w:rPr>
              <w:instrText xml:space="preserve"> PAGEREF _Toc496558097 \h </w:instrText>
            </w:r>
            <w:r w:rsidR="009C6581">
              <w:rPr>
                <w:noProof/>
                <w:webHidden/>
              </w:rPr>
            </w:r>
            <w:r w:rsidR="009C6581">
              <w:rPr>
                <w:noProof/>
                <w:webHidden/>
              </w:rPr>
              <w:fldChar w:fldCharType="separate"/>
            </w:r>
            <w:r w:rsidR="009C6581">
              <w:rPr>
                <w:noProof/>
                <w:webHidden/>
              </w:rPr>
              <w:t>69</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98" w:history="1">
            <w:r w:rsidR="009C6581" w:rsidRPr="005E302F">
              <w:rPr>
                <w:rStyle w:val="Hipercze"/>
                <w:noProof/>
              </w:rPr>
              <w:t>Spis tabel:</w:t>
            </w:r>
            <w:r w:rsidR="009C6581">
              <w:rPr>
                <w:noProof/>
                <w:webHidden/>
              </w:rPr>
              <w:tab/>
            </w:r>
            <w:r w:rsidR="009C6581">
              <w:rPr>
                <w:noProof/>
                <w:webHidden/>
              </w:rPr>
              <w:fldChar w:fldCharType="begin"/>
            </w:r>
            <w:r w:rsidR="009C6581">
              <w:rPr>
                <w:noProof/>
                <w:webHidden/>
              </w:rPr>
              <w:instrText xml:space="preserve"> PAGEREF _Toc496558098 \h </w:instrText>
            </w:r>
            <w:r w:rsidR="009C6581">
              <w:rPr>
                <w:noProof/>
                <w:webHidden/>
              </w:rPr>
            </w:r>
            <w:r w:rsidR="009C6581">
              <w:rPr>
                <w:noProof/>
                <w:webHidden/>
              </w:rPr>
              <w:fldChar w:fldCharType="separate"/>
            </w:r>
            <w:r w:rsidR="009C6581">
              <w:rPr>
                <w:noProof/>
                <w:webHidden/>
              </w:rPr>
              <w:t>70</w:t>
            </w:r>
            <w:r w:rsidR="009C6581">
              <w:rPr>
                <w:noProof/>
                <w:webHidden/>
              </w:rPr>
              <w:fldChar w:fldCharType="end"/>
            </w:r>
          </w:hyperlink>
        </w:p>
        <w:p w:rsidR="009C6581" w:rsidRDefault="00172343">
          <w:pPr>
            <w:pStyle w:val="Spistreci2"/>
            <w:tabs>
              <w:tab w:val="right" w:leader="dot" w:pos="9062"/>
            </w:tabs>
            <w:rPr>
              <w:rFonts w:eastAsiaTheme="minorEastAsia"/>
              <w:noProof/>
              <w:lang w:eastAsia="pl-PL"/>
            </w:rPr>
          </w:pPr>
          <w:hyperlink w:anchor="_Toc496558099" w:history="1">
            <w:r w:rsidR="009C6581" w:rsidRPr="005E302F">
              <w:rPr>
                <w:rStyle w:val="Hipercze"/>
                <w:noProof/>
              </w:rPr>
              <w:t>Spis wykresów</w:t>
            </w:r>
            <w:r w:rsidR="009C6581">
              <w:rPr>
                <w:noProof/>
                <w:webHidden/>
              </w:rPr>
              <w:tab/>
            </w:r>
            <w:r w:rsidR="009C6581">
              <w:rPr>
                <w:noProof/>
                <w:webHidden/>
              </w:rPr>
              <w:fldChar w:fldCharType="begin"/>
            </w:r>
            <w:r w:rsidR="009C6581">
              <w:rPr>
                <w:noProof/>
                <w:webHidden/>
              </w:rPr>
              <w:instrText xml:space="preserve"> PAGEREF _Toc496558099 \h </w:instrText>
            </w:r>
            <w:r w:rsidR="009C6581">
              <w:rPr>
                <w:noProof/>
                <w:webHidden/>
              </w:rPr>
            </w:r>
            <w:r w:rsidR="009C6581">
              <w:rPr>
                <w:noProof/>
                <w:webHidden/>
              </w:rPr>
              <w:fldChar w:fldCharType="separate"/>
            </w:r>
            <w:r w:rsidR="009C6581">
              <w:rPr>
                <w:noProof/>
                <w:webHidden/>
              </w:rPr>
              <w:t>71</w:t>
            </w:r>
            <w:r w:rsidR="009C6581">
              <w:rPr>
                <w:noProof/>
                <w:webHidden/>
              </w:rPr>
              <w:fldChar w:fldCharType="end"/>
            </w:r>
          </w:hyperlink>
        </w:p>
        <w:p w:rsidR="007446A0" w:rsidRDefault="007446A0">
          <w:r>
            <w:rPr>
              <w:b/>
              <w:bCs/>
            </w:rPr>
            <w:fldChar w:fldCharType="end"/>
          </w:r>
        </w:p>
      </w:sdtContent>
    </w:sdt>
    <w:p w:rsidR="007446A0" w:rsidRDefault="007446A0" w:rsidP="007446A0">
      <w:pPr>
        <w:pStyle w:val="Nagwek1"/>
      </w:pPr>
    </w:p>
    <w:p w:rsidR="007446A0" w:rsidRDefault="007446A0" w:rsidP="007446A0"/>
    <w:p w:rsidR="007446A0" w:rsidRDefault="007446A0" w:rsidP="007446A0"/>
    <w:p w:rsidR="007446A0" w:rsidRDefault="007446A0" w:rsidP="007446A0"/>
    <w:p w:rsidR="007446A0" w:rsidRDefault="007446A0" w:rsidP="007446A0"/>
    <w:p w:rsidR="007446A0" w:rsidRPr="007446A0" w:rsidRDefault="007446A0" w:rsidP="007446A0"/>
    <w:p w:rsidR="007446A0" w:rsidRDefault="007446A0" w:rsidP="007446A0">
      <w:pPr>
        <w:pStyle w:val="Nagwek1"/>
      </w:pPr>
    </w:p>
    <w:p w:rsidR="007446A0" w:rsidRDefault="007446A0" w:rsidP="007446A0">
      <w:pPr>
        <w:pStyle w:val="Nagwek1"/>
        <w:sectPr w:rsidR="007446A0" w:rsidSect="007446A0">
          <w:footerReference w:type="default" r:id="rId8"/>
          <w:pgSz w:w="11906" w:h="16838"/>
          <w:pgMar w:top="1417" w:right="1417" w:bottom="1417" w:left="1417" w:header="708" w:footer="708" w:gutter="0"/>
          <w:pgNumType w:start="0"/>
          <w:cols w:space="708"/>
          <w:titlePg/>
          <w:docGrid w:linePitch="360"/>
        </w:sectPr>
      </w:pPr>
    </w:p>
    <w:p w:rsidR="00530737" w:rsidRDefault="00530737" w:rsidP="007446A0">
      <w:pPr>
        <w:pStyle w:val="Nagwek1"/>
      </w:pPr>
      <w:bookmarkStart w:id="3" w:name="_Toc496558055"/>
      <w:r>
        <w:lastRenderedPageBreak/>
        <w:t xml:space="preserve">Szczegółowa diagnoza obszaru </w:t>
      </w:r>
      <w:bookmarkEnd w:id="0"/>
      <w:r w:rsidR="00525163">
        <w:t>gminy Tryńcza</w:t>
      </w:r>
      <w:bookmarkEnd w:id="3"/>
    </w:p>
    <w:p w:rsidR="00530737" w:rsidRDefault="00530737" w:rsidP="00530737"/>
    <w:p w:rsidR="00530737" w:rsidRPr="00F3188E" w:rsidRDefault="00530737" w:rsidP="00530737">
      <w:pPr>
        <w:pStyle w:val="Nagwek2"/>
      </w:pPr>
      <w:bookmarkStart w:id="4" w:name="_Toc436387686"/>
      <w:bookmarkStart w:id="5" w:name="_Toc471940348"/>
      <w:bookmarkStart w:id="6" w:name="_Toc496558056"/>
      <w:r w:rsidRPr="00F3188E">
        <w:t>Położenie</w:t>
      </w:r>
      <w:bookmarkEnd w:id="4"/>
      <w:bookmarkEnd w:id="5"/>
      <w:bookmarkEnd w:id="6"/>
    </w:p>
    <w:p w:rsidR="00530737" w:rsidRPr="00FB4E3B" w:rsidRDefault="00530737" w:rsidP="00530737">
      <w:pPr>
        <w:pStyle w:val="Bezodstpw"/>
        <w:spacing w:line="276" w:lineRule="auto"/>
        <w:jc w:val="both"/>
        <w:rPr>
          <w:rFonts w:ascii="Times New Roman" w:hAnsi="Times New Roman"/>
          <w:sz w:val="24"/>
          <w:szCs w:val="24"/>
        </w:rPr>
      </w:pPr>
    </w:p>
    <w:p w:rsidR="00530737" w:rsidRPr="00FB4E3B" w:rsidRDefault="00530737" w:rsidP="00530737">
      <w:pPr>
        <w:jc w:val="both"/>
      </w:pPr>
      <w:r>
        <w:t xml:space="preserve">Gmina Tryńcza to </w:t>
      </w:r>
      <w:r w:rsidRPr="0085641B">
        <w:t>gmina wiejska w województwie podkarpackim, w powiecie przeworskim</w:t>
      </w:r>
      <w:r>
        <w:t xml:space="preserve">. </w:t>
      </w:r>
      <w:r w:rsidRPr="0085641B">
        <w:t>Charakterystyczną cechą krajobrazu gminy i zarazem atrakcją tur</w:t>
      </w:r>
      <w:r>
        <w:t>ystyczną są tereny nadbrzeżne i </w:t>
      </w:r>
      <w:r w:rsidRPr="0085641B">
        <w:t>szerokie koryta rzeki Wisłok i San. Brak naturalnych wyniesień terenowych nie ogranicza otwartych przestrzeni, a horyzont oznacza linia lasu. Tereny leśne tworzą</w:t>
      </w:r>
      <w:r>
        <w:t xml:space="preserve"> zwarte kompleksy, graniczące z </w:t>
      </w:r>
      <w:r w:rsidRPr="0085641B">
        <w:t>drogami i terenami upraw rolnych. Największe kompleksy leśne znajdują się w środkowo - wschodniej części gminy. Północna i środkowa część obszaru gminy jest położona w obrębie Sieniawskiego Obszaru Chronionego.</w:t>
      </w:r>
    </w:p>
    <w:p w:rsidR="00530737" w:rsidRPr="00FB4E3B" w:rsidRDefault="00530737" w:rsidP="00530737"/>
    <w:p w:rsidR="00530737" w:rsidRPr="00FB4E3B" w:rsidRDefault="00530737" w:rsidP="00530737">
      <w:pPr>
        <w:pStyle w:val="Legenda"/>
        <w:spacing w:line="276" w:lineRule="auto"/>
      </w:pPr>
      <w:bookmarkStart w:id="7" w:name="_Toc440489473"/>
      <w:bookmarkStart w:id="8" w:name="_Toc495887776"/>
      <w:r w:rsidRPr="00FB4E3B">
        <w:t xml:space="preserve">Mapa </w:t>
      </w:r>
      <w:r w:rsidR="00172343">
        <w:fldChar w:fldCharType="begin"/>
      </w:r>
      <w:r w:rsidR="00172343">
        <w:instrText xml:space="preserve"> SEQ Mapa \* ARABIC </w:instrText>
      </w:r>
      <w:r w:rsidR="00172343">
        <w:fldChar w:fldCharType="separate"/>
      </w:r>
      <w:r w:rsidR="00883893">
        <w:rPr>
          <w:noProof/>
        </w:rPr>
        <w:t>1</w:t>
      </w:r>
      <w:r w:rsidR="00172343">
        <w:rPr>
          <w:noProof/>
        </w:rPr>
        <w:fldChar w:fldCharType="end"/>
      </w:r>
      <w:r w:rsidRPr="00FB4E3B">
        <w:t xml:space="preserve"> Obszar gminy</w:t>
      </w:r>
      <w:bookmarkEnd w:id="7"/>
      <w:bookmarkEnd w:id="8"/>
    </w:p>
    <w:p w:rsidR="00530737" w:rsidRPr="00FB4E3B" w:rsidRDefault="00530737" w:rsidP="00525163">
      <w:pPr>
        <w:pStyle w:val="Bezodstpw"/>
        <w:spacing w:line="276" w:lineRule="auto"/>
        <w:jc w:val="center"/>
        <w:rPr>
          <w:rFonts w:ascii="Times New Roman" w:hAnsi="Times New Roman"/>
          <w:sz w:val="24"/>
          <w:szCs w:val="24"/>
        </w:rPr>
      </w:pPr>
      <w:r>
        <w:rPr>
          <w:noProof/>
          <w:lang w:eastAsia="pl-PL"/>
        </w:rPr>
        <w:drawing>
          <wp:inline distT="0" distB="0" distL="0" distR="0" wp14:anchorId="02C03B2C" wp14:editId="23AABDAF">
            <wp:extent cx="5337175" cy="4683283"/>
            <wp:effectExtent l="0" t="0" r="0" b="317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7175" cy="4683283"/>
                    </a:xfrm>
                    <a:prstGeom prst="rect">
                      <a:avLst/>
                    </a:prstGeom>
                    <a:noFill/>
                    <a:ln>
                      <a:noFill/>
                    </a:ln>
                  </pic:spPr>
                </pic:pic>
              </a:graphicData>
            </a:graphic>
          </wp:inline>
        </w:drawing>
      </w:r>
    </w:p>
    <w:p w:rsidR="00530737" w:rsidRDefault="00530737" w:rsidP="00530737">
      <w:pPr>
        <w:pStyle w:val="Legenda"/>
        <w:spacing w:line="276" w:lineRule="auto"/>
      </w:pPr>
      <w:r w:rsidRPr="00FB4E3B">
        <w:t xml:space="preserve">Źródło: </w:t>
      </w:r>
      <w:r w:rsidRPr="00E61A86">
        <w:t>www.google.pl/maps</w:t>
      </w:r>
    </w:p>
    <w:p w:rsidR="00530737" w:rsidRPr="009F3595" w:rsidRDefault="00530737" w:rsidP="00530737"/>
    <w:p w:rsidR="00530737" w:rsidRPr="00FC252A" w:rsidRDefault="00530737" w:rsidP="00525163">
      <w:pPr>
        <w:pStyle w:val="Bezodstpw"/>
        <w:spacing w:line="276" w:lineRule="auto"/>
        <w:jc w:val="both"/>
        <w:rPr>
          <w:rFonts w:cstheme="minorHAnsi"/>
        </w:rPr>
      </w:pPr>
      <w:r w:rsidRPr="00FC252A">
        <w:rPr>
          <w:rFonts w:cstheme="minorHAnsi"/>
        </w:rPr>
        <w:lastRenderedPageBreak/>
        <w:t>Gmina Tryńcza pod względem geograficznym, położona jest w Kotlinie Sandomierskiej, w obrębie dużej jednostki geologicznej zwanej Zapadliskiem Przedkarpackim. Leży nad rzeką Wisłok  i San. Przez jej teren przechodzi droga  wojewódzka Nr 835 relacji Przeworsk – Lublin – Grabownica Starzeńska, oraz droga krajowa Nr 77 relacji Przemyśl – Lipnik.</w:t>
      </w:r>
    </w:p>
    <w:p w:rsidR="00530737" w:rsidRDefault="00530737" w:rsidP="00525163">
      <w:pPr>
        <w:pStyle w:val="Bezodstpw"/>
        <w:spacing w:line="276" w:lineRule="auto"/>
        <w:rPr>
          <w:rFonts w:cstheme="minorHAnsi"/>
        </w:rPr>
      </w:pPr>
    </w:p>
    <w:p w:rsidR="007008B8" w:rsidRPr="00883893" w:rsidRDefault="007008B8" w:rsidP="00525163">
      <w:pPr>
        <w:pStyle w:val="Bezodstpw"/>
        <w:spacing w:line="276" w:lineRule="auto"/>
        <w:jc w:val="both"/>
        <w:rPr>
          <w:rFonts w:cstheme="minorHAnsi"/>
        </w:rPr>
      </w:pPr>
      <w:r w:rsidRPr="00883893">
        <w:rPr>
          <w:rFonts w:cstheme="minorHAnsi"/>
        </w:rPr>
        <w:t>Gmina obejmuje obszar ponad 70 km</w:t>
      </w:r>
      <w:r w:rsidRPr="00883893">
        <w:rPr>
          <w:rFonts w:cstheme="minorHAnsi"/>
          <w:vertAlign w:val="superscript"/>
        </w:rPr>
        <w:t>2</w:t>
      </w:r>
      <w:r w:rsidRPr="00883893">
        <w:rPr>
          <w:rFonts w:cstheme="minorHAnsi"/>
        </w:rPr>
        <w:t>, z czego ok. 72% jej powierzchni to użytki rolne, a pozostała część: lasy, grunty oraz pozostałe grunty i nieużytki. Obecną sieć osadniczą gminy tworzy 9 miejscowości:</w:t>
      </w:r>
    </w:p>
    <w:p w:rsidR="007008B8" w:rsidRPr="00883893" w:rsidRDefault="007008B8" w:rsidP="00525163">
      <w:pPr>
        <w:pStyle w:val="Bezodstpw"/>
        <w:spacing w:line="276" w:lineRule="auto"/>
        <w:jc w:val="both"/>
        <w:rPr>
          <w:rFonts w:cstheme="minorHAnsi"/>
        </w:rPr>
      </w:pPr>
      <w:r w:rsidRPr="00883893">
        <w:rPr>
          <w:rFonts w:cstheme="minorHAnsi"/>
        </w:rPr>
        <w:t>1)</w:t>
      </w:r>
      <w:r w:rsidRPr="00883893">
        <w:rPr>
          <w:rFonts w:cstheme="minorHAnsi"/>
        </w:rPr>
        <w:tab/>
        <w:t>Głogowiec,</w:t>
      </w:r>
    </w:p>
    <w:p w:rsidR="007008B8" w:rsidRPr="00883893" w:rsidRDefault="007008B8" w:rsidP="00525163">
      <w:pPr>
        <w:pStyle w:val="Bezodstpw"/>
        <w:spacing w:line="276" w:lineRule="auto"/>
        <w:jc w:val="both"/>
        <w:rPr>
          <w:rFonts w:cstheme="minorHAnsi"/>
        </w:rPr>
      </w:pPr>
      <w:r w:rsidRPr="00883893">
        <w:rPr>
          <w:rFonts w:cstheme="minorHAnsi"/>
        </w:rPr>
        <w:t>2)</w:t>
      </w:r>
      <w:r w:rsidRPr="00883893">
        <w:rPr>
          <w:rFonts w:cstheme="minorHAnsi"/>
        </w:rPr>
        <w:tab/>
        <w:t>Gniewczyna Łańcucka,</w:t>
      </w:r>
    </w:p>
    <w:p w:rsidR="007008B8" w:rsidRPr="00883893" w:rsidRDefault="007008B8" w:rsidP="00525163">
      <w:pPr>
        <w:pStyle w:val="Bezodstpw"/>
        <w:spacing w:line="276" w:lineRule="auto"/>
        <w:jc w:val="both"/>
        <w:rPr>
          <w:rFonts w:cstheme="minorHAnsi"/>
        </w:rPr>
      </w:pPr>
      <w:r w:rsidRPr="00883893">
        <w:rPr>
          <w:rFonts w:cstheme="minorHAnsi"/>
        </w:rPr>
        <w:t>3)</w:t>
      </w:r>
      <w:r w:rsidRPr="00883893">
        <w:rPr>
          <w:rFonts w:cstheme="minorHAnsi"/>
        </w:rPr>
        <w:tab/>
        <w:t>Gniewczyna Tryniecka,</w:t>
      </w:r>
    </w:p>
    <w:p w:rsidR="007008B8" w:rsidRPr="00883893" w:rsidRDefault="007008B8" w:rsidP="00525163">
      <w:pPr>
        <w:pStyle w:val="Bezodstpw"/>
        <w:spacing w:line="276" w:lineRule="auto"/>
        <w:jc w:val="both"/>
        <w:rPr>
          <w:rFonts w:cstheme="minorHAnsi"/>
        </w:rPr>
      </w:pPr>
      <w:r w:rsidRPr="00883893">
        <w:rPr>
          <w:rFonts w:cstheme="minorHAnsi"/>
        </w:rPr>
        <w:t>4)</w:t>
      </w:r>
      <w:r w:rsidRPr="00883893">
        <w:rPr>
          <w:rFonts w:cstheme="minorHAnsi"/>
        </w:rPr>
        <w:tab/>
        <w:t>Gorzyce,</w:t>
      </w:r>
    </w:p>
    <w:p w:rsidR="007008B8" w:rsidRPr="00883893" w:rsidRDefault="007008B8" w:rsidP="00525163">
      <w:pPr>
        <w:pStyle w:val="Bezodstpw"/>
        <w:spacing w:line="276" w:lineRule="auto"/>
        <w:jc w:val="both"/>
        <w:rPr>
          <w:rFonts w:cstheme="minorHAnsi"/>
        </w:rPr>
      </w:pPr>
      <w:r w:rsidRPr="00883893">
        <w:rPr>
          <w:rFonts w:cstheme="minorHAnsi"/>
        </w:rPr>
        <w:t>5)</w:t>
      </w:r>
      <w:r w:rsidRPr="00883893">
        <w:rPr>
          <w:rFonts w:cstheme="minorHAnsi"/>
        </w:rPr>
        <w:tab/>
        <w:t>Jagiełła,</w:t>
      </w:r>
    </w:p>
    <w:p w:rsidR="007008B8" w:rsidRPr="00883893" w:rsidRDefault="007008B8" w:rsidP="00525163">
      <w:pPr>
        <w:pStyle w:val="Bezodstpw"/>
        <w:spacing w:line="276" w:lineRule="auto"/>
        <w:jc w:val="both"/>
        <w:rPr>
          <w:rFonts w:cstheme="minorHAnsi"/>
        </w:rPr>
      </w:pPr>
      <w:r w:rsidRPr="00883893">
        <w:rPr>
          <w:rFonts w:cstheme="minorHAnsi"/>
        </w:rPr>
        <w:t>6)</w:t>
      </w:r>
      <w:r w:rsidRPr="00883893">
        <w:rPr>
          <w:rFonts w:cstheme="minorHAnsi"/>
        </w:rPr>
        <w:tab/>
        <w:t>Tryńcza - pełniąca funkcję siedziby gminy,</w:t>
      </w:r>
    </w:p>
    <w:p w:rsidR="007008B8" w:rsidRPr="00883893" w:rsidRDefault="007008B8" w:rsidP="00525163">
      <w:pPr>
        <w:pStyle w:val="Bezodstpw"/>
        <w:spacing w:line="276" w:lineRule="auto"/>
        <w:jc w:val="both"/>
        <w:rPr>
          <w:rFonts w:cstheme="minorHAnsi"/>
        </w:rPr>
      </w:pPr>
      <w:r w:rsidRPr="00883893">
        <w:rPr>
          <w:rFonts w:cstheme="minorHAnsi"/>
        </w:rPr>
        <w:t>7)</w:t>
      </w:r>
      <w:r w:rsidRPr="00883893">
        <w:rPr>
          <w:rFonts w:cstheme="minorHAnsi"/>
        </w:rPr>
        <w:tab/>
        <w:t>Ubieszyn,</w:t>
      </w:r>
    </w:p>
    <w:p w:rsidR="007008B8" w:rsidRPr="00883893" w:rsidRDefault="007008B8" w:rsidP="00525163">
      <w:pPr>
        <w:pStyle w:val="Bezodstpw"/>
        <w:spacing w:line="276" w:lineRule="auto"/>
        <w:jc w:val="both"/>
        <w:rPr>
          <w:rFonts w:cstheme="minorHAnsi"/>
        </w:rPr>
      </w:pPr>
      <w:r w:rsidRPr="00883893">
        <w:rPr>
          <w:rFonts w:cstheme="minorHAnsi"/>
        </w:rPr>
        <w:t>8)</w:t>
      </w:r>
      <w:r w:rsidRPr="00883893">
        <w:rPr>
          <w:rFonts w:cstheme="minorHAnsi"/>
        </w:rPr>
        <w:tab/>
        <w:t>Wólka Małkowa,</w:t>
      </w:r>
    </w:p>
    <w:p w:rsidR="007008B8" w:rsidRDefault="007008B8" w:rsidP="00525163">
      <w:pPr>
        <w:pStyle w:val="Bezodstpw"/>
        <w:spacing w:line="276" w:lineRule="auto"/>
        <w:jc w:val="both"/>
        <w:rPr>
          <w:rFonts w:cstheme="minorHAnsi"/>
        </w:rPr>
      </w:pPr>
      <w:r w:rsidRPr="00883893">
        <w:rPr>
          <w:rFonts w:cstheme="minorHAnsi"/>
        </w:rPr>
        <w:t>9)</w:t>
      </w:r>
      <w:r w:rsidRPr="00883893">
        <w:rPr>
          <w:rFonts w:cstheme="minorHAnsi"/>
        </w:rPr>
        <w:tab/>
        <w:t>Wólka Ogryzkowa.</w:t>
      </w:r>
    </w:p>
    <w:p w:rsidR="007008B8" w:rsidRPr="00FC252A" w:rsidRDefault="007008B8" w:rsidP="007008B8">
      <w:pPr>
        <w:pStyle w:val="Bezodstpw"/>
        <w:spacing w:line="276" w:lineRule="auto"/>
        <w:rPr>
          <w:rFonts w:cstheme="minorHAnsi"/>
        </w:rPr>
      </w:pPr>
    </w:p>
    <w:p w:rsidR="00530737" w:rsidRPr="00FC252A" w:rsidRDefault="00530737" w:rsidP="00530737">
      <w:pPr>
        <w:pStyle w:val="Bezodstpw"/>
        <w:spacing w:line="276" w:lineRule="auto"/>
        <w:jc w:val="both"/>
        <w:rPr>
          <w:rFonts w:cstheme="minorHAnsi"/>
        </w:rPr>
      </w:pPr>
      <w:r w:rsidRPr="00FC252A">
        <w:rPr>
          <w:rFonts w:cstheme="minorHAnsi"/>
        </w:rPr>
        <w:t>Gmina sąsiaduje z następującymi gminami: Białobrzegi, Grodzisko Dolne, Jarosław, Leżajsk, Przeworsk, Sieniawa</w:t>
      </w:r>
      <w:r w:rsidR="007008B8">
        <w:rPr>
          <w:rFonts w:cstheme="minorHAnsi"/>
        </w:rPr>
        <w:t>.</w:t>
      </w:r>
    </w:p>
    <w:p w:rsidR="00530737" w:rsidRDefault="00530737" w:rsidP="00530737">
      <w:pPr>
        <w:pStyle w:val="Bezodstpw"/>
        <w:spacing w:line="276" w:lineRule="auto"/>
        <w:rPr>
          <w:rFonts w:ascii="Times New Roman" w:hAnsi="Times New Roman"/>
          <w:sz w:val="24"/>
          <w:szCs w:val="24"/>
        </w:rPr>
      </w:pPr>
    </w:p>
    <w:p w:rsidR="00530737" w:rsidRPr="00F3188E" w:rsidRDefault="00530737" w:rsidP="00530737">
      <w:pPr>
        <w:pStyle w:val="Nagwek2"/>
      </w:pPr>
      <w:bookmarkStart w:id="9" w:name="_Toc436387687"/>
      <w:bookmarkStart w:id="10" w:name="_Toc471940349"/>
      <w:bookmarkStart w:id="11" w:name="_Toc496558057"/>
      <w:r w:rsidRPr="00F3188E">
        <w:t>Zasoby przyrodnicze</w:t>
      </w:r>
      <w:bookmarkEnd w:id="9"/>
      <w:bookmarkEnd w:id="10"/>
      <w:bookmarkEnd w:id="11"/>
    </w:p>
    <w:p w:rsidR="00530737" w:rsidRDefault="00530737" w:rsidP="00530737">
      <w:pPr>
        <w:jc w:val="both"/>
      </w:pPr>
      <w:r>
        <w:br/>
        <w:t>Przez teren Gminy Tryńcza przepływają rzeki: San (ok. 10 km), Wisłok (ok. 18 km) oraz Mleczka (ok.  2,5 km). Wszystkie rzeki w swoim dolnym biegu łączą się w jeden ciek wodny. Rzeka Mleczka w miejscowości Gniewczyna Tryniecka wpada do Wisłoka, natomiast Wisłok wpada do Sanu poza terenem Gminy na północ od miejscowości Głogowiec. Ponadto przez obszar Gminy przepływają 3 potoki: Przykopa, Strzyganka oraz Leszczynka. Przepływające przez teren Gminy rzeki i potoki mają charakter dolinny. Brzegi rzek są wysokie, koryta głębokie i piaszczyste.</w:t>
      </w:r>
    </w:p>
    <w:p w:rsidR="00530737" w:rsidRDefault="00530737" w:rsidP="00530737">
      <w:pPr>
        <w:jc w:val="both"/>
      </w:pPr>
      <w:r>
        <w:t xml:space="preserve">Z występowaniem wód powierzchniowych związane są zagrożenia powodziowe. Wysokie stany wód rzecznych występujące głównie w okresie wiosennym i letnim spowodowane są głównie wiosennymi roztopami i intensywnymi opadami letnim. W okresie wysokich opadów rzeki występują z koryt i zalewają okoliczne doliny. Największemu zagrożeniu podlegają obszary przyległe do rzek miejscowości takich jak Głogowiec, Gorzyce, Ubieszyn, Gniewczyna Łańcucka Gniewczyna Tryniecka, Tryńcza i Wólka Małkowa. </w:t>
      </w:r>
    </w:p>
    <w:p w:rsidR="00530737" w:rsidRDefault="00530737" w:rsidP="00530737">
      <w:pPr>
        <w:jc w:val="both"/>
      </w:pPr>
      <w:r>
        <w:t xml:space="preserve">Przeprowadzone w rejonie położonym na północ od wsi Jagiełła badania hydrologiczne na powierzchni około 300 ha wykazały, że zalegają tam zasoby wód podziemnych w ilościach mogących zaspokoić potrzeby Gminy Tryńcza. W systemie zarządzania gospodarką wodną, teren Gminy należy do Regionalnego Zarządu Gospodarki Wodnej w Krakowie. Występujące na terenie Gminy Tryńcza warunki wodne związane są z poziomem wód czwartorzędowych. Wody podziemne są podstawowym źródłem zaopatrzenia w wodę odbiorców, stanowią ponadto bazę dla ujęć komunalnych. Pod względem hydrograficznym teren Gminy należy do dorzecza Wisły i znajduje się w  obrębie Głównego Zbiornika Wód Podziemnych nr 425 Dębica - Stalowa Wola - Rzeszów, którego </w:t>
      </w:r>
      <w:r>
        <w:lastRenderedPageBreak/>
        <w:t>wody są dobrej jakości i należą do I i II klasy. Nieustannym zagrożeniem dla jakości wód podziemnych w/w zbiornika jest odprowadzanie nieczyszczonych ścieków komunalnych i deszczowych do wód powierzchniowych oraz nieszczelnych szamb pełniących rolę osadników tylko dla części stałych.</w:t>
      </w:r>
    </w:p>
    <w:p w:rsidR="00530737" w:rsidRDefault="00530737" w:rsidP="00530737">
      <w:pPr>
        <w:jc w:val="both"/>
      </w:pPr>
      <w:r w:rsidRPr="00DD2CB7">
        <w:t>Char</w:t>
      </w:r>
      <w:r>
        <w:t>akterystyczną cechą krajobrazu G</w:t>
      </w:r>
      <w:r w:rsidRPr="00DD2CB7">
        <w:t>miny i zarazem atrakcją tur</w:t>
      </w:r>
      <w:r>
        <w:t>ystyczną są tereny nadbrzeżne i </w:t>
      </w:r>
      <w:r w:rsidRPr="00DD2CB7">
        <w:t>szerokie koryta rzek</w:t>
      </w:r>
      <w:r>
        <w:t xml:space="preserve">i </w:t>
      </w:r>
      <w:r w:rsidRPr="00DD2CB7">
        <w:t>Wisłok</w:t>
      </w:r>
      <w:r>
        <w:t xml:space="preserve"> i San</w:t>
      </w:r>
      <w:r w:rsidRPr="00DD2CB7">
        <w:t>. Brak naturalnych wyniesień terenowych nie ogranicza otwartych przestrzeni, a horyzont oznacza linia lasu. Tereny leśne tworzą</w:t>
      </w:r>
      <w:r>
        <w:t xml:space="preserve"> zwarte kompleksy, graniczące z </w:t>
      </w:r>
      <w:r w:rsidRPr="00DD2CB7">
        <w:t xml:space="preserve">drogami i terenami upraw rolnych. Największe kompleksy leśne znajdują się w </w:t>
      </w:r>
      <w:r>
        <w:t>środkowo-wschodniej części G</w:t>
      </w:r>
      <w:r w:rsidRPr="00DD2CB7">
        <w:t>miny. Pół</w:t>
      </w:r>
      <w:r>
        <w:t>nocna i środkowa część obszaru G</w:t>
      </w:r>
      <w:r w:rsidRPr="00DD2CB7">
        <w:t>miny jest położona w obrębie Sieniawskiego Obszaru Chronionego</w:t>
      </w:r>
      <w:r>
        <w:t xml:space="preserve"> Krajobrazu</w:t>
      </w:r>
      <w:r w:rsidRPr="00DD2CB7">
        <w:t>.</w:t>
      </w:r>
      <w:r>
        <w:t xml:space="preserve"> Środowisko przyrodnicze G</w:t>
      </w:r>
      <w:r w:rsidRPr="00DD2CB7">
        <w:t>miny jest dobrze zachowane i niezwykle bog</w:t>
      </w:r>
      <w:r>
        <w:t>ate pod względem świata fauny i </w:t>
      </w:r>
      <w:r w:rsidRPr="00DD2CB7">
        <w:t>flory.</w:t>
      </w:r>
      <w:r>
        <w:t xml:space="preserve"> </w:t>
      </w:r>
      <w:r w:rsidRPr="00DD2CB7">
        <w:t>Bogate w roś</w:t>
      </w:r>
      <w:r>
        <w:t xml:space="preserve">liny bagienne jest stare koryto </w:t>
      </w:r>
      <w:r w:rsidRPr="00DD2CB7">
        <w:t xml:space="preserve">Wisłoka między </w:t>
      </w:r>
      <w:r>
        <w:t>miejscowościami Gniewczyna Tryniecka a</w:t>
      </w:r>
      <w:r w:rsidRPr="00DD2CB7">
        <w:t> </w:t>
      </w:r>
      <w:r>
        <w:t>Wólka Małkowa</w:t>
      </w:r>
      <w:r w:rsidRPr="00DD2CB7">
        <w:t>. Wydmy piaszczyste występujące w okolicy Jagiełły, Gorzyc, Wólki O</w:t>
      </w:r>
      <w:r>
        <w:t>gryzkowej i Małkowej, Tryńczy i </w:t>
      </w:r>
      <w:r w:rsidRPr="00DD2CB7">
        <w:t>Gniewczyny Trynieckiej porośnięte są lasami sosnowymi  i dębami. Nad brzegami rzek rosną głównie wierzby, olchy, osiki i topole</w:t>
      </w:r>
      <w:r>
        <w:t>.</w:t>
      </w:r>
    </w:p>
    <w:p w:rsidR="00530737" w:rsidRPr="00FB4E3B" w:rsidRDefault="00530737" w:rsidP="00530737">
      <w:pPr>
        <w:pStyle w:val="Legenda"/>
        <w:spacing w:line="276" w:lineRule="auto"/>
      </w:pPr>
      <w:bookmarkStart w:id="12" w:name="_Toc440489502"/>
      <w:bookmarkStart w:id="13" w:name="_Toc495887790"/>
      <w:r w:rsidRPr="00FB4E3B">
        <w:t xml:space="preserve">Tabela </w:t>
      </w:r>
      <w:r w:rsidR="00172343">
        <w:fldChar w:fldCharType="begin"/>
      </w:r>
      <w:r w:rsidR="00172343">
        <w:instrText xml:space="preserve"> SEQ Tabela \* ARABIC </w:instrText>
      </w:r>
      <w:r w:rsidR="00172343">
        <w:fldChar w:fldCharType="separate"/>
      </w:r>
      <w:r w:rsidR="00D67FEC">
        <w:rPr>
          <w:noProof/>
        </w:rPr>
        <w:t>1</w:t>
      </w:r>
      <w:r w:rsidR="00172343">
        <w:rPr>
          <w:noProof/>
        </w:rPr>
        <w:fldChar w:fldCharType="end"/>
      </w:r>
      <w:r w:rsidRPr="00FB4E3B">
        <w:t xml:space="preserve"> Powierzchnia gruntów leśnych</w:t>
      </w:r>
      <w:bookmarkEnd w:id="12"/>
      <w:bookmarkEnd w:id="13"/>
    </w:p>
    <w:tbl>
      <w:tblPr>
        <w:tblStyle w:val="Tabelasiatki5ciemnaakcent32"/>
        <w:tblW w:w="8538" w:type="dxa"/>
        <w:tblLook w:val="04A0" w:firstRow="1" w:lastRow="0" w:firstColumn="1" w:lastColumn="0" w:noHBand="0" w:noVBand="1"/>
      </w:tblPr>
      <w:tblGrid>
        <w:gridCol w:w="2599"/>
        <w:gridCol w:w="496"/>
        <w:gridCol w:w="773"/>
        <w:gridCol w:w="773"/>
        <w:gridCol w:w="1119"/>
        <w:gridCol w:w="979"/>
        <w:gridCol w:w="978"/>
        <w:gridCol w:w="875"/>
      </w:tblGrid>
      <w:tr w:rsidR="00530737" w:rsidRPr="002943F5" w:rsidTr="002943F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99" w:type="dxa"/>
            <w:noWrap/>
            <w:hideMark/>
          </w:tcPr>
          <w:p w:rsidR="00530737" w:rsidRPr="002943F5" w:rsidRDefault="00530737" w:rsidP="00131F04">
            <w:pPr>
              <w:rPr>
                <w:rFonts w:asciiTheme="minorHAnsi" w:hAnsiTheme="minorHAnsi" w:cstheme="minorHAnsi"/>
              </w:rPr>
            </w:pPr>
          </w:p>
        </w:tc>
        <w:tc>
          <w:tcPr>
            <w:tcW w:w="496" w:type="dxa"/>
            <w:noWrap/>
            <w:hideMark/>
          </w:tcPr>
          <w:p w:rsidR="00530737" w:rsidRPr="002943F5" w:rsidRDefault="00530737" w:rsidP="00131F0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tcW w:w="752" w:type="dxa"/>
            <w:noWrap/>
            <w:hideMark/>
          </w:tcPr>
          <w:p w:rsidR="00530737" w:rsidRPr="002943F5" w:rsidRDefault="00530737" w:rsidP="00131F0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2943F5">
              <w:rPr>
                <w:rFonts w:asciiTheme="minorHAnsi" w:hAnsiTheme="minorHAnsi" w:cstheme="minorHAnsi"/>
                <w:b w:val="0"/>
                <w:bCs w:val="0"/>
                <w:color w:val="FFFFFF"/>
              </w:rPr>
              <w:t>2009</w:t>
            </w:r>
          </w:p>
        </w:tc>
        <w:tc>
          <w:tcPr>
            <w:tcW w:w="752" w:type="dxa"/>
            <w:noWrap/>
            <w:hideMark/>
          </w:tcPr>
          <w:p w:rsidR="00530737" w:rsidRPr="002943F5" w:rsidRDefault="00530737" w:rsidP="00131F0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2943F5">
              <w:rPr>
                <w:rFonts w:asciiTheme="minorHAnsi" w:hAnsiTheme="minorHAnsi" w:cstheme="minorHAnsi"/>
                <w:b w:val="0"/>
                <w:bCs w:val="0"/>
                <w:color w:val="FFFFFF"/>
              </w:rPr>
              <w:t>2010</w:t>
            </w:r>
          </w:p>
        </w:tc>
        <w:tc>
          <w:tcPr>
            <w:tcW w:w="1119" w:type="dxa"/>
            <w:noWrap/>
            <w:hideMark/>
          </w:tcPr>
          <w:p w:rsidR="00530737" w:rsidRPr="002943F5" w:rsidRDefault="00530737" w:rsidP="00131F0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2943F5">
              <w:rPr>
                <w:rFonts w:asciiTheme="minorHAnsi" w:hAnsiTheme="minorHAnsi" w:cstheme="minorHAnsi"/>
                <w:b w:val="0"/>
                <w:bCs w:val="0"/>
                <w:color w:val="FFFFFF"/>
              </w:rPr>
              <w:t>2011</w:t>
            </w:r>
          </w:p>
        </w:tc>
        <w:tc>
          <w:tcPr>
            <w:tcW w:w="979" w:type="dxa"/>
            <w:noWrap/>
            <w:hideMark/>
          </w:tcPr>
          <w:p w:rsidR="00530737" w:rsidRPr="002943F5" w:rsidRDefault="00530737" w:rsidP="00131F0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2943F5">
              <w:rPr>
                <w:rFonts w:asciiTheme="minorHAnsi" w:hAnsiTheme="minorHAnsi" w:cstheme="minorHAnsi"/>
                <w:b w:val="0"/>
                <w:bCs w:val="0"/>
                <w:color w:val="FFFFFF"/>
              </w:rPr>
              <w:t>2012</w:t>
            </w:r>
          </w:p>
        </w:tc>
        <w:tc>
          <w:tcPr>
            <w:tcW w:w="978" w:type="dxa"/>
            <w:noWrap/>
            <w:hideMark/>
          </w:tcPr>
          <w:p w:rsidR="00530737" w:rsidRPr="002943F5" w:rsidRDefault="00530737" w:rsidP="00131F0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2943F5">
              <w:rPr>
                <w:rFonts w:asciiTheme="minorHAnsi" w:hAnsiTheme="minorHAnsi" w:cstheme="minorHAnsi"/>
                <w:b w:val="0"/>
                <w:bCs w:val="0"/>
                <w:color w:val="FFFFFF"/>
              </w:rPr>
              <w:t>2013</w:t>
            </w:r>
          </w:p>
        </w:tc>
        <w:tc>
          <w:tcPr>
            <w:tcW w:w="863" w:type="dxa"/>
          </w:tcPr>
          <w:p w:rsidR="00530737" w:rsidRPr="002943F5" w:rsidRDefault="00530737" w:rsidP="00131F0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2943F5">
              <w:rPr>
                <w:rFonts w:asciiTheme="minorHAnsi" w:hAnsiTheme="minorHAnsi" w:cstheme="minorHAnsi"/>
                <w:b w:val="0"/>
                <w:bCs w:val="0"/>
                <w:color w:val="FFFFFF"/>
              </w:rPr>
              <w:t>2014</w:t>
            </w:r>
          </w:p>
        </w:tc>
      </w:tr>
      <w:tr w:rsidR="00530737" w:rsidRPr="002943F5" w:rsidTr="002943F5">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2599" w:type="dxa"/>
            <w:hideMark/>
          </w:tcPr>
          <w:p w:rsidR="00530737" w:rsidRPr="002943F5" w:rsidRDefault="00530737" w:rsidP="00131F04">
            <w:pPr>
              <w:jc w:val="center"/>
              <w:rPr>
                <w:rFonts w:asciiTheme="minorHAnsi" w:hAnsiTheme="minorHAnsi" w:cstheme="minorHAnsi"/>
              </w:rPr>
            </w:pPr>
            <w:r w:rsidRPr="002943F5">
              <w:rPr>
                <w:rFonts w:asciiTheme="minorHAnsi" w:hAnsiTheme="minorHAnsi" w:cstheme="minorHAnsi"/>
              </w:rPr>
              <w:t>powierzchnia gruntów leśnych ogółem</w:t>
            </w:r>
          </w:p>
        </w:tc>
        <w:tc>
          <w:tcPr>
            <w:tcW w:w="496" w:type="dxa"/>
            <w:noWrap/>
            <w:hideMark/>
          </w:tcPr>
          <w:p w:rsidR="00530737" w:rsidRPr="002943F5" w:rsidRDefault="00530737" w:rsidP="00131F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ha</w:t>
            </w:r>
          </w:p>
        </w:tc>
        <w:tc>
          <w:tcPr>
            <w:tcW w:w="752" w:type="dxa"/>
            <w:noWrap/>
          </w:tcPr>
          <w:p w:rsidR="00530737" w:rsidRPr="002943F5" w:rsidRDefault="00530737" w:rsidP="00131F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1118,3</w:t>
            </w:r>
          </w:p>
        </w:tc>
        <w:tc>
          <w:tcPr>
            <w:tcW w:w="752" w:type="dxa"/>
            <w:noWrap/>
          </w:tcPr>
          <w:p w:rsidR="00530737" w:rsidRPr="002943F5" w:rsidRDefault="00530737" w:rsidP="00131F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1133,4</w:t>
            </w:r>
          </w:p>
        </w:tc>
        <w:tc>
          <w:tcPr>
            <w:tcW w:w="1119" w:type="dxa"/>
            <w:noWrap/>
          </w:tcPr>
          <w:p w:rsidR="00530737" w:rsidRPr="002943F5" w:rsidRDefault="00530737" w:rsidP="00131F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1151,0</w:t>
            </w:r>
          </w:p>
        </w:tc>
        <w:tc>
          <w:tcPr>
            <w:tcW w:w="979" w:type="dxa"/>
            <w:noWrap/>
          </w:tcPr>
          <w:p w:rsidR="00530737" w:rsidRPr="002943F5" w:rsidRDefault="00530737" w:rsidP="00131F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1163,1</w:t>
            </w:r>
          </w:p>
        </w:tc>
        <w:tc>
          <w:tcPr>
            <w:tcW w:w="978" w:type="dxa"/>
            <w:noWrap/>
          </w:tcPr>
          <w:p w:rsidR="00530737" w:rsidRPr="002943F5" w:rsidRDefault="00530737" w:rsidP="00131F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1172,10</w:t>
            </w:r>
          </w:p>
        </w:tc>
        <w:tc>
          <w:tcPr>
            <w:tcW w:w="863" w:type="dxa"/>
          </w:tcPr>
          <w:p w:rsidR="00530737" w:rsidRPr="002943F5" w:rsidRDefault="00530737" w:rsidP="00131F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1173,37</w:t>
            </w:r>
          </w:p>
        </w:tc>
      </w:tr>
      <w:tr w:rsidR="00530737" w:rsidRPr="002943F5" w:rsidTr="002943F5">
        <w:trPr>
          <w:trHeight w:val="549"/>
        </w:trPr>
        <w:tc>
          <w:tcPr>
            <w:cnfStyle w:val="001000000000" w:firstRow="0" w:lastRow="0" w:firstColumn="1" w:lastColumn="0" w:oddVBand="0" w:evenVBand="0" w:oddHBand="0" w:evenHBand="0" w:firstRowFirstColumn="0" w:firstRowLastColumn="0" w:lastRowFirstColumn="0" w:lastRowLastColumn="0"/>
            <w:tcW w:w="2599" w:type="dxa"/>
            <w:hideMark/>
          </w:tcPr>
          <w:p w:rsidR="00530737" w:rsidRPr="002943F5" w:rsidRDefault="00530737" w:rsidP="00131F04">
            <w:pPr>
              <w:jc w:val="center"/>
              <w:rPr>
                <w:rFonts w:asciiTheme="minorHAnsi" w:hAnsiTheme="minorHAnsi" w:cstheme="minorHAnsi"/>
              </w:rPr>
            </w:pPr>
            <w:r w:rsidRPr="002943F5">
              <w:rPr>
                <w:rFonts w:asciiTheme="minorHAnsi" w:hAnsiTheme="minorHAnsi" w:cstheme="minorHAnsi"/>
              </w:rPr>
              <w:t>grunty leśne publiczne ogółem</w:t>
            </w:r>
          </w:p>
        </w:tc>
        <w:tc>
          <w:tcPr>
            <w:tcW w:w="496" w:type="dxa"/>
            <w:noWrap/>
            <w:hideMark/>
          </w:tcPr>
          <w:p w:rsidR="00530737" w:rsidRPr="002943F5" w:rsidRDefault="00530737" w:rsidP="00131F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ha</w:t>
            </w:r>
          </w:p>
        </w:tc>
        <w:tc>
          <w:tcPr>
            <w:tcW w:w="752" w:type="dxa"/>
            <w:noWrap/>
          </w:tcPr>
          <w:p w:rsidR="00530737" w:rsidRPr="002943F5" w:rsidRDefault="00530737" w:rsidP="00131F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890,8</w:t>
            </w:r>
          </w:p>
        </w:tc>
        <w:tc>
          <w:tcPr>
            <w:tcW w:w="752" w:type="dxa"/>
            <w:noWrap/>
          </w:tcPr>
          <w:p w:rsidR="00530737" w:rsidRPr="002943F5" w:rsidRDefault="00530737" w:rsidP="00131F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886,6</w:t>
            </w:r>
          </w:p>
        </w:tc>
        <w:tc>
          <w:tcPr>
            <w:tcW w:w="1119" w:type="dxa"/>
            <w:noWrap/>
          </w:tcPr>
          <w:p w:rsidR="00530737" w:rsidRPr="002943F5" w:rsidRDefault="00530737" w:rsidP="00131F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886,6</w:t>
            </w:r>
          </w:p>
        </w:tc>
        <w:tc>
          <w:tcPr>
            <w:tcW w:w="979" w:type="dxa"/>
            <w:noWrap/>
          </w:tcPr>
          <w:p w:rsidR="00530737" w:rsidRPr="002943F5" w:rsidRDefault="00530737" w:rsidP="00131F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887,6</w:t>
            </w:r>
          </w:p>
        </w:tc>
        <w:tc>
          <w:tcPr>
            <w:tcW w:w="978" w:type="dxa"/>
            <w:noWrap/>
          </w:tcPr>
          <w:p w:rsidR="00530737" w:rsidRPr="002943F5" w:rsidRDefault="00530737" w:rsidP="00131F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887,58</w:t>
            </w:r>
          </w:p>
        </w:tc>
        <w:tc>
          <w:tcPr>
            <w:tcW w:w="863" w:type="dxa"/>
          </w:tcPr>
          <w:p w:rsidR="00530737" w:rsidRPr="002943F5" w:rsidRDefault="00530737" w:rsidP="00131F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887,58</w:t>
            </w:r>
          </w:p>
        </w:tc>
      </w:tr>
      <w:tr w:rsidR="00530737" w:rsidRPr="002943F5" w:rsidTr="002943F5">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599" w:type="dxa"/>
            <w:hideMark/>
          </w:tcPr>
          <w:p w:rsidR="00530737" w:rsidRPr="002943F5" w:rsidRDefault="00530737" w:rsidP="00131F04">
            <w:pPr>
              <w:jc w:val="center"/>
              <w:rPr>
                <w:rFonts w:asciiTheme="minorHAnsi" w:hAnsiTheme="minorHAnsi" w:cstheme="minorHAnsi"/>
              </w:rPr>
            </w:pPr>
            <w:r w:rsidRPr="002943F5">
              <w:rPr>
                <w:rFonts w:asciiTheme="minorHAnsi" w:hAnsiTheme="minorHAnsi" w:cstheme="minorHAnsi"/>
              </w:rPr>
              <w:t>grunty leśne prywatne</w:t>
            </w:r>
          </w:p>
        </w:tc>
        <w:tc>
          <w:tcPr>
            <w:tcW w:w="496" w:type="dxa"/>
            <w:noWrap/>
            <w:hideMark/>
          </w:tcPr>
          <w:p w:rsidR="00530737" w:rsidRPr="002943F5" w:rsidRDefault="00530737" w:rsidP="00131F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ha</w:t>
            </w:r>
          </w:p>
        </w:tc>
        <w:tc>
          <w:tcPr>
            <w:tcW w:w="752" w:type="dxa"/>
            <w:noWrap/>
          </w:tcPr>
          <w:p w:rsidR="00530737" w:rsidRPr="002943F5" w:rsidRDefault="00530737" w:rsidP="00131F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227,5</w:t>
            </w:r>
          </w:p>
        </w:tc>
        <w:tc>
          <w:tcPr>
            <w:tcW w:w="752" w:type="dxa"/>
            <w:noWrap/>
          </w:tcPr>
          <w:p w:rsidR="00530737" w:rsidRPr="002943F5" w:rsidRDefault="00530737" w:rsidP="00131F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246,8</w:t>
            </w:r>
          </w:p>
        </w:tc>
        <w:tc>
          <w:tcPr>
            <w:tcW w:w="1119" w:type="dxa"/>
            <w:noWrap/>
          </w:tcPr>
          <w:p w:rsidR="00530737" w:rsidRPr="002943F5" w:rsidRDefault="00530737" w:rsidP="00131F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264,4</w:t>
            </w:r>
          </w:p>
        </w:tc>
        <w:tc>
          <w:tcPr>
            <w:tcW w:w="979" w:type="dxa"/>
            <w:noWrap/>
          </w:tcPr>
          <w:p w:rsidR="00530737" w:rsidRPr="002943F5" w:rsidRDefault="00530737" w:rsidP="00131F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275,5</w:t>
            </w:r>
          </w:p>
        </w:tc>
        <w:tc>
          <w:tcPr>
            <w:tcW w:w="978" w:type="dxa"/>
            <w:noWrap/>
          </w:tcPr>
          <w:p w:rsidR="00530737" w:rsidRPr="002943F5" w:rsidRDefault="00530737" w:rsidP="00131F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284,52</w:t>
            </w:r>
          </w:p>
        </w:tc>
        <w:tc>
          <w:tcPr>
            <w:tcW w:w="863" w:type="dxa"/>
          </w:tcPr>
          <w:p w:rsidR="00530737" w:rsidRPr="002943F5" w:rsidRDefault="00530737" w:rsidP="00131F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285,79</w:t>
            </w:r>
          </w:p>
        </w:tc>
      </w:tr>
      <w:tr w:rsidR="00530737" w:rsidRPr="002943F5" w:rsidTr="002943F5">
        <w:trPr>
          <w:trHeight w:val="765"/>
        </w:trPr>
        <w:tc>
          <w:tcPr>
            <w:cnfStyle w:val="001000000000" w:firstRow="0" w:lastRow="0" w:firstColumn="1" w:lastColumn="0" w:oddVBand="0" w:evenVBand="0" w:oddHBand="0" w:evenHBand="0" w:firstRowFirstColumn="0" w:firstRowLastColumn="0" w:lastRowFirstColumn="0" w:lastRowLastColumn="0"/>
            <w:tcW w:w="2599" w:type="dxa"/>
          </w:tcPr>
          <w:p w:rsidR="00530737" w:rsidRPr="002943F5" w:rsidRDefault="00530737" w:rsidP="00131F04">
            <w:pPr>
              <w:jc w:val="center"/>
              <w:rPr>
                <w:rFonts w:asciiTheme="minorHAnsi" w:hAnsiTheme="minorHAnsi" w:cstheme="minorHAnsi"/>
              </w:rPr>
            </w:pPr>
            <w:r w:rsidRPr="002943F5">
              <w:rPr>
                <w:rFonts w:asciiTheme="minorHAnsi" w:hAnsiTheme="minorHAnsi" w:cstheme="minorHAnsi"/>
              </w:rPr>
              <w:t>lesistość w %</w:t>
            </w:r>
          </w:p>
        </w:tc>
        <w:tc>
          <w:tcPr>
            <w:tcW w:w="496" w:type="dxa"/>
            <w:noWrap/>
          </w:tcPr>
          <w:p w:rsidR="00530737" w:rsidRPr="002943F5" w:rsidRDefault="00530737" w:rsidP="00131F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w:t>
            </w:r>
          </w:p>
        </w:tc>
        <w:tc>
          <w:tcPr>
            <w:tcW w:w="752" w:type="dxa"/>
            <w:noWrap/>
          </w:tcPr>
          <w:p w:rsidR="00530737" w:rsidRPr="002943F5" w:rsidRDefault="00530737" w:rsidP="00131F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15,7</w:t>
            </w:r>
          </w:p>
        </w:tc>
        <w:tc>
          <w:tcPr>
            <w:tcW w:w="752" w:type="dxa"/>
            <w:noWrap/>
          </w:tcPr>
          <w:p w:rsidR="00530737" w:rsidRPr="002943F5" w:rsidRDefault="00530737" w:rsidP="00131F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16,0</w:t>
            </w:r>
          </w:p>
        </w:tc>
        <w:tc>
          <w:tcPr>
            <w:tcW w:w="1119" w:type="dxa"/>
            <w:noWrap/>
          </w:tcPr>
          <w:p w:rsidR="00530737" w:rsidRPr="002943F5" w:rsidRDefault="00530737" w:rsidP="00131F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16,2</w:t>
            </w:r>
          </w:p>
        </w:tc>
        <w:tc>
          <w:tcPr>
            <w:tcW w:w="979" w:type="dxa"/>
            <w:noWrap/>
          </w:tcPr>
          <w:p w:rsidR="00530737" w:rsidRPr="002943F5" w:rsidRDefault="00530737" w:rsidP="00131F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16,4</w:t>
            </w:r>
          </w:p>
        </w:tc>
        <w:tc>
          <w:tcPr>
            <w:tcW w:w="978" w:type="dxa"/>
            <w:noWrap/>
          </w:tcPr>
          <w:p w:rsidR="00530737" w:rsidRPr="002943F5" w:rsidRDefault="00530737" w:rsidP="00131F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16,5</w:t>
            </w:r>
          </w:p>
        </w:tc>
        <w:tc>
          <w:tcPr>
            <w:tcW w:w="863" w:type="dxa"/>
          </w:tcPr>
          <w:p w:rsidR="00530737" w:rsidRPr="002943F5" w:rsidRDefault="00530737" w:rsidP="00131F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943F5">
              <w:rPr>
                <w:rFonts w:asciiTheme="minorHAnsi" w:hAnsiTheme="minorHAnsi" w:cstheme="minorHAnsi"/>
              </w:rPr>
              <w:t>16,5</w:t>
            </w:r>
          </w:p>
        </w:tc>
      </w:tr>
    </w:tbl>
    <w:p w:rsidR="00530737" w:rsidRPr="00FB4E3B" w:rsidRDefault="00530737" w:rsidP="00530737">
      <w:pPr>
        <w:pStyle w:val="Legenda"/>
        <w:spacing w:line="276" w:lineRule="auto"/>
      </w:pPr>
      <w:r w:rsidRPr="00FB4E3B">
        <w:t>Źródło: Bank Danych Lokalnych GUS</w:t>
      </w:r>
    </w:p>
    <w:p w:rsidR="00530737" w:rsidRDefault="00530737" w:rsidP="00530737">
      <w:pPr>
        <w:ind w:firstLine="709"/>
        <w:jc w:val="both"/>
      </w:pPr>
      <w:r>
        <w:t>Na terenie gminy Tryńcza znajduje się fragment Sieniawskiego Obszaru Chronionego Krajobrazu, który w całości zlokalizowany jest na terenie gmin: Jarosław, Wiązownica, Stary Dzików, Oleszyce, Adamówka, Sieniawa i Tryńcza oraz miasta Sieniawa. Ogólna jego powierzchnia wynosi 52 408 ha. Założony w 1987 roku (uchwała Wojewódzkiej Rady Narodowej w Przemyślu, nr XX/148/87 z dnia 25.06.1987 r., utrzymany w mocy Obwieszczeniem Wojewody Przemyskiego z dnia 11.XII.1990 r.).</w:t>
      </w:r>
    </w:p>
    <w:p w:rsidR="00530737" w:rsidRDefault="00530737" w:rsidP="00530737">
      <w:pPr>
        <w:ind w:firstLine="709"/>
        <w:jc w:val="both"/>
      </w:pPr>
      <w:r>
        <w:t>Obszar ten został utworzony dla ochrony Lasów Sieniawskich, jednego z największych kompleksów leśnych w województwie, będącego częścią Puszczy Sandomierskiej.</w:t>
      </w:r>
    </w:p>
    <w:p w:rsidR="00530737" w:rsidRDefault="00530737" w:rsidP="00530737">
      <w:pPr>
        <w:ind w:firstLine="709"/>
        <w:jc w:val="both"/>
      </w:pPr>
      <w:r>
        <w:t>Na terenie gminy zlokalizowane są dwa obszary zatwierdzone Decyzją Komisji Europejskiej w ramach ochrony sieci Natura 2000. Obszar Dolny San jest proponowany przez organizacje pozarządowe w ramach Shadow List w ramach Dyrektywy Siedliskowej:</w:t>
      </w:r>
    </w:p>
    <w:p w:rsidR="00530737" w:rsidRPr="00FB4E3B" w:rsidRDefault="00530737" w:rsidP="00530737">
      <w:pPr>
        <w:ind w:firstLine="709"/>
        <w:jc w:val="both"/>
      </w:pPr>
      <w:r>
        <w:t xml:space="preserve">Dolina Dolnego Sanu (Kod obszaru:PLH180020) objęta jest Dyrektywą Siedliskową oraz Ptasią. Występuje na terenie gminy Sieniawa i Tryńcza. Dolina Dolnego Sanu obejmuje powierzchnię 10176,6 ha w ramach Dyrektywy Siedliskowej. Obszar położony jest w Kotlinie Sandomierskiej na wysokości 140-225 m n.p.m. i obejmuje najbardziej cenne przyrodniczo fragmenty doliny dolnego </w:t>
      </w:r>
      <w:r>
        <w:lastRenderedPageBreak/>
        <w:t>Sanu na odcinku Jarosław - ujście. Dolina rzeki w stadium dojrzałym osiąga szerokość 7-15 km. Zasadniczymi elementami jej budowy są dwa poziomy terasowe holoceńskie oraz terasa plejstoceńska. W dolinie dominuje krajobraz rolniczy. Siedliska rolnicze zajmują ponad połowę powierzchni, jedną czwartą - siedliska łąkowe i zaroślowe, prawie jedną piątą - wody Sanu. Lasy iglaste, liściaste oraz obszary zantropogenizowane stanowią około 5%. Zidentyfikowano tu 14 typów siedlisk przyrodniczych z Załącznika I Dyrektywy Siedliskowej. Największe znaczenie mają: kompleks zbiorowisk przykorytowych (łęgi wierzbowe, ziołorośla i pionierska roślinność na piaszczystych odsypach i namuliskach). Istotną rolę w dolinie odgrywają także różnego typu ekstensywnie użytkowane łąki oraz liczne starorzecza z bogatą florą wodną. Na suchych łąkach i pastwiskach oraz na krawędziach erozyjnych występują ciekawe zbiorowiska kserotermiczne. Florę i faunę cechuje znaczne bogactwo, wykazano tu 19 gatunków z Załącznika II Dyrektywy Siedliskowej. Występują tu istotne regionalnie populacjemodraszka teleiusa, modraszka nausithousa, wydry i bolenia. W dolinie występują również takie gatunki roślin jak storczyk cuchnący, róża francuska, pięciornik skalny, powojnik prosty, kotewka orzech wodny oraz owad: modliszka zwyczajna. Obszar stanowi istotny korytarz ekologiczny w tym dla ichtiofauny. Wody rzeki San i jej dopływów są siedliskiem cennych gatunków ryb z Załącznika II Dyrektywy Siedliskowej. Dorzecze Sanu objęte jest krajowym programem restytucji ryb wędrownych (certy, troci wędrownej, łososia i jesiotra ostronosego). Dopływy Sanu prezentują walory potencjalnych tarlisk i siedlisk wędrownych ryb prądolubnych o znaczeniu europejskim.</w:t>
      </w:r>
    </w:p>
    <w:p w:rsidR="00530737" w:rsidRDefault="00530737" w:rsidP="006A7E1F">
      <w:pPr>
        <w:ind w:firstLine="709"/>
        <w:jc w:val="both"/>
      </w:pPr>
      <w:r>
        <w:t>Starodub w Pełkiniach (Kod obszaru: PLH180050) obejmuje gminy Przeworsk i Tryńcza. Forma ochrony w ramach sieci Natura 2000 jest specjalny obszar ochrony siedlisk o powierzchni 574,8 ha. Obszar leży na wysokości 180-185 m n.p.m. i obejmuje dobrze zachowany, zwarty kompleks bogatych florystycznie, cennych łąk (77% powierzchni obszaru) znajdujący się pomiędzy miejscowościami Pełkinie, Ujezna, Jagiełła i Rozbórz. Najcenniejsza jest liczna populacja (ponad 1000 osobników) staroduba łąkowego występująca przede wszystkim we wschodniej części obszaru. Siedliska rolnicze zajmują 22%.</w:t>
      </w:r>
    </w:p>
    <w:p w:rsidR="007008B8" w:rsidRPr="00883893" w:rsidRDefault="007008B8" w:rsidP="007008B8">
      <w:pPr>
        <w:ind w:firstLine="709"/>
        <w:jc w:val="both"/>
      </w:pPr>
      <w:r w:rsidRPr="00883893">
        <w:t>Do najważniejszych surowców mineralnych na terenie Gminy zaliczyć można złoża kruszywa naturalnego, które zajmują powierzchnię ok. 300 ha. Znajdują się one w administracyjnych granicach miejscowości Tryńcza, Gorzyce, Wólka Ogryzkowa i Ubieszyn oraz w Gniewczynie Łańcuckiej i Gniewczynie Trynieckiej (obszary górnicze). Pola w Tryńczy w Wólce Ogryzkowej i Ubieszynie położone są w granicach Sieniawskiego Obszaru Chronionego Krajobrazu.</w:t>
      </w:r>
    </w:p>
    <w:p w:rsidR="007008B8" w:rsidRPr="00883893" w:rsidRDefault="007008B8" w:rsidP="007008B8">
      <w:pPr>
        <w:ind w:firstLine="709"/>
        <w:jc w:val="both"/>
      </w:pPr>
      <w:r w:rsidRPr="00883893">
        <w:t>W północno – zachodniej części obszaru Gminy występują złoża gazu ziemnego objęte Obszarem Górniczym „Żołynia – Leżajsk”, utworzonym decyzją Ministra Ochrony Środowiska, Zasobów Naturalnych i Leśnictwa.</w:t>
      </w:r>
    </w:p>
    <w:p w:rsidR="007008B8" w:rsidRDefault="007008B8" w:rsidP="007008B8">
      <w:pPr>
        <w:ind w:firstLine="709"/>
        <w:jc w:val="both"/>
      </w:pPr>
      <w:r w:rsidRPr="00883893">
        <w:t>Głównym źródłem zanieczyszczeń powietrza na terenie gminy są paleniska domowe (indywidualne kotłownie), wykorzystujące jako paliwo węgiel kamienny oraz ruch komunikacyjny. W okresie wegetacji istnieje możliwość zanieczyszczenia powietrza środkami owadobójczymi i chwastobójczymi rozpylanymi na polach.</w:t>
      </w:r>
      <w:r w:rsidRPr="00883893">
        <w:rPr>
          <w:rStyle w:val="Odwoanieprzypisudolnego"/>
        </w:rPr>
        <w:footnoteReference w:id="1"/>
      </w:r>
    </w:p>
    <w:p w:rsidR="007008B8" w:rsidRPr="00036221" w:rsidRDefault="007008B8" w:rsidP="007008B8">
      <w:pPr>
        <w:ind w:firstLine="709"/>
        <w:jc w:val="both"/>
      </w:pPr>
    </w:p>
    <w:p w:rsidR="00530737" w:rsidRDefault="00530737" w:rsidP="006A7E1F">
      <w:pPr>
        <w:pStyle w:val="Nagwek2"/>
      </w:pPr>
      <w:bookmarkStart w:id="14" w:name="_Toc471940350"/>
      <w:bookmarkStart w:id="15" w:name="_Toc496558058"/>
      <w:r>
        <w:lastRenderedPageBreak/>
        <w:t>Demografia</w:t>
      </w:r>
      <w:bookmarkEnd w:id="14"/>
      <w:bookmarkEnd w:id="15"/>
    </w:p>
    <w:p w:rsidR="00131F04" w:rsidRDefault="00131F04" w:rsidP="00D7754B">
      <w:pPr>
        <w:spacing w:after="0"/>
        <w:ind w:firstLine="720"/>
        <w:jc w:val="both"/>
      </w:pPr>
    </w:p>
    <w:p w:rsidR="00D7754B" w:rsidRPr="00131F04" w:rsidRDefault="00D7754B" w:rsidP="00D7754B">
      <w:pPr>
        <w:spacing w:after="0"/>
        <w:ind w:firstLine="720"/>
        <w:jc w:val="both"/>
      </w:pPr>
      <w:r w:rsidRPr="00131F04">
        <w:t xml:space="preserve">Według stanu na dzień 31 grudnia 2015 r., teren gminy Tryńcza zamieszkiwało </w:t>
      </w:r>
      <w:r w:rsidRPr="00131F04">
        <w:rPr>
          <w:rFonts w:eastAsia="Times New Roman" w:cs="Arial"/>
          <w:lang w:eastAsia="pl-PL"/>
        </w:rPr>
        <w:t xml:space="preserve">8381 </w:t>
      </w:r>
      <w:r w:rsidRPr="00131F04">
        <w:t xml:space="preserve">osób. W stosunku do roku 2006 (perspektywa ostatnich 10 lat), nastąpił nieznaczny ponad 2% wzrost liczby mieszkańców. W 2006 r. na terenie gminy mieszkało 8186 osób. </w:t>
      </w:r>
    </w:p>
    <w:p w:rsidR="00D7754B" w:rsidRDefault="00D7754B" w:rsidP="00D7754B">
      <w:pPr>
        <w:spacing w:after="0"/>
        <w:ind w:firstLine="720"/>
        <w:jc w:val="both"/>
      </w:pPr>
      <w:r w:rsidRPr="00131F04">
        <w:t>Na koniec 2015 roku (stan na 31.12.2015 r.) gminę zamieszkiwało 4179 kobiet (49,86% wszystkich mieszkańców). Na 1 km² powierzchni gminy przypadało 120 osoby i jest to wartość wyższa od średniej wyliczonej dla powiatu przeworskiego, która wynosi 114 osób/km². Analizując liczbę ludności zamieszkującej Gminę Tryńcza na przestrzeni lat 2006-2015, można zauważyć, iż ta wartość przyjmuje tendencję wzrostową.</w:t>
      </w:r>
    </w:p>
    <w:p w:rsidR="007008B8" w:rsidRDefault="007008B8" w:rsidP="00D7754B">
      <w:pPr>
        <w:spacing w:after="0"/>
        <w:ind w:firstLine="720"/>
        <w:jc w:val="both"/>
      </w:pPr>
    </w:p>
    <w:p w:rsidR="006A7E1F" w:rsidRDefault="006A7E1F" w:rsidP="006A7E1F">
      <w:pPr>
        <w:pStyle w:val="Legenda"/>
        <w:rPr>
          <w:sz w:val="24"/>
          <w:szCs w:val="24"/>
        </w:rPr>
      </w:pPr>
      <w:bookmarkStart w:id="16" w:name="_Toc495887815"/>
      <w:r>
        <w:t xml:space="preserve">Wykres </w:t>
      </w:r>
      <w:r w:rsidR="00172343">
        <w:fldChar w:fldCharType="begin"/>
      </w:r>
      <w:r w:rsidR="00172343">
        <w:instrText xml:space="preserve"> SEQ Wykres \* ARABIC </w:instrText>
      </w:r>
      <w:r w:rsidR="00172343">
        <w:fldChar w:fldCharType="separate"/>
      </w:r>
      <w:r w:rsidR="00A57C08">
        <w:rPr>
          <w:noProof/>
        </w:rPr>
        <w:t>1</w:t>
      </w:r>
      <w:r w:rsidR="00172343">
        <w:rPr>
          <w:noProof/>
        </w:rPr>
        <w:fldChar w:fldCharType="end"/>
      </w:r>
      <w:r>
        <w:t xml:space="preserve"> Liczba ludności gminy Tryńcza w latach 2006-2015</w:t>
      </w:r>
      <w:bookmarkEnd w:id="16"/>
      <w:r>
        <w:t xml:space="preserve"> </w:t>
      </w:r>
    </w:p>
    <w:p w:rsidR="00530737" w:rsidRDefault="00530737" w:rsidP="006A7E1F">
      <w:pPr>
        <w:pStyle w:val="Legenda"/>
      </w:pPr>
      <w:r>
        <w:rPr>
          <w:noProof/>
          <w:lang w:eastAsia="pl-PL"/>
        </w:rPr>
        <w:drawing>
          <wp:inline distT="0" distB="0" distL="0" distR="0" wp14:anchorId="683BACFA" wp14:editId="5467F1D3">
            <wp:extent cx="5760720" cy="2697237"/>
            <wp:effectExtent l="0" t="0" r="11430" b="2730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6A7E1F">
        <w:t>Źródło: Opracowanie własne na podstawie danych GUS: bdl.stat.gov.pl</w:t>
      </w:r>
    </w:p>
    <w:p w:rsidR="006A7E1F" w:rsidRDefault="006A7E1F" w:rsidP="006A7E1F"/>
    <w:p w:rsidR="006A7E1F" w:rsidRDefault="006A7E1F" w:rsidP="005505CA">
      <w:pPr>
        <w:ind w:firstLine="708"/>
        <w:jc w:val="both"/>
      </w:pPr>
      <w:r>
        <w:t>Wzrost liczby mieszkańców spowodowany jest głównie migracjami (przyrost w 2010 o 41 osób, 2011 o 22 osoby, w 2013 o 12 osób i w 2014 o 43 osoby) i skokowo przyrostem  naturalnym. Urodzenia kształtują się w przedziale od 80 do 104 dzieci rocznie</w:t>
      </w:r>
      <w:r w:rsidR="005505CA">
        <w:t>, zgony mieszkańców od 71 do 95 rocznie.</w:t>
      </w:r>
    </w:p>
    <w:p w:rsidR="005505CA" w:rsidRDefault="005505CA" w:rsidP="005505CA">
      <w:pPr>
        <w:ind w:firstLine="708"/>
        <w:jc w:val="both"/>
      </w:pPr>
      <w:r>
        <w:t>Jakkolwiek bilans przyrostu naturalnego jest raczej dodatni, to w odniesieniu do piramidy wieku jest on mniejszy niż w latach wcześniejszych, co wyraźnie widać na wykresach struktury wieku w roku 2006 i 2015.</w:t>
      </w:r>
    </w:p>
    <w:p w:rsidR="007008B8" w:rsidRDefault="007008B8" w:rsidP="005505CA">
      <w:pPr>
        <w:ind w:firstLine="708"/>
        <w:jc w:val="both"/>
      </w:pPr>
    </w:p>
    <w:p w:rsidR="002943F5" w:rsidRDefault="002943F5" w:rsidP="005505CA">
      <w:pPr>
        <w:ind w:firstLine="708"/>
        <w:jc w:val="both"/>
      </w:pPr>
    </w:p>
    <w:p w:rsidR="002943F5" w:rsidRDefault="002943F5" w:rsidP="005505CA">
      <w:pPr>
        <w:ind w:firstLine="708"/>
        <w:jc w:val="both"/>
      </w:pPr>
    </w:p>
    <w:p w:rsidR="002943F5" w:rsidRDefault="002943F5" w:rsidP="005505CA">
      <w:pPr>
        <w:ind w:firstLine="708"/>
        <w:jc w:val="both"/>
      </w:pPr>
    </w:p>
    <w:p w:rsidR="002943F5" w:rsidRDefault="002943F5" w:rsidP="005505CA">
      <w:pPr>
        <w:ind w:firstLine="708"/>
        <w:jc w:val="both"/>
      </w:pPr>
    </w:p>
    <w:p w:rsidR="005505CA" w:rsidRPr="006A7E1F" w:rsidRDefault="005505CA" w:rsidP="005505CA">
      <w:pPr>
        <w:pStyle w:val="Legenda"/>
      </w:pPr>
      <w:bookmarkStart w:id="17" w:name="_Toc495887816"/>
      <w:r>
        <w:lastRenderedPageBreak/>
        <w:t xml:space="preserve">Wykres </w:t>
      </w:r>
      <w:r w:rsidR="00172343">
        <w:fldChar w:fldCharType="begin"/>
      </w:r>
      <w:r w:rsidR="00172343">
        <w:instrText xml:space="preserve"> SEQ Wykres \* ARABIC </w:instrText>
      </w:r>
      <w:r w:rsidR="00172343">
        <w:fldChar w:fldCharType="separate"/>
      </w:r>
      <w:r w:rsidR="00A57C08">
        <w:rPr>
          <w:noProof/>
        </w:rPr>
        <w:t>2</w:t>
      </w:r>
      <w:r w:rsidR="00172343">
        <w:rPr>
          <w:noProof/>
        </w:rPr>
        <w:fldChar w:fldCharType="end"/>
      </w:r>
      <w:r>
        <w:t xml:space="preserve"> Struktura wieku mieszkańców Gminy Tryńcza w 2006 i 2015 roku.</w:t>
      </w:r>
      <w:bookmarkEnd w:id="17"/>
    </w:p>
    <w:p w:rsidR="005505CA" w:rsidRDefault="005505CA" w:rsidP="005505CA">
      <w:pPr>
        <w:pStyle w:val="Legenda"/>
      </w:pPr>
      <w:r>
        <w:rPr>
          <w:noProof/>
          <w:lang w:eastAsia="pl-PL"/>
        </w:rPr>
        <w:drawing>
          <wp:inline distT="0" distB="0" distL="0" distR="0" wp14:anchorId="32B500EC" wp14:editId="64F12C55">
            <wp:extent cx="5753100" cy="29432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r w:rsidRPr="005505CA">
        <w:t xml:space="preserve"> </w:t>
      </w:r>
      <w:r>
        <w:t>Źródło: Opracowanie własne na podstawie danych GUS: bdl.stat.gov.pl</w:t>
      </w:r>
    </w:p>
    <w:p w:rsidR="00530737" w:rsidRDefault="005505CA" w:rsidP="005505CA">
      <w:pPr>
        <w:jc w:val="both"/>
      </w:pPr>
      <w:r>
        <w:tab/>
      </w:r>
      <w:r w:rsidRPr="00525163">
        <w:rPr>
          <w:b/>
        </w:rPr>
        <w:t>Problem starzenia się społeczeństwa</w:t>
      </w:r>
      <w:r>
        <w:t xml:space="preserve"> najlepiej ukazuje analiza danych statystycznych dotyczących wskaźnika obciążenia demograficznego. Liczba osób w wieku poprodukcyjnym na 100 osób w wieku przedprodukcyjnym w 2006 roku wynosiła 64,6 osób a w 2015 aż 80,2 osoby.</w:t>
      </w:r>
    </w:p>
    <w:p w:rsidR="005505CA" w:rsidRDefault="005505CA" w:rsidP="005505CA">
      <w:pPr>
        <w:pStyle w:val="Legenda"/>
      </w:pPr>
      <w:bookmarkStart w:id="18" w:name="_Toc495887817"/>
      <w:r>
        <w:t xml:space="preserve">Wykres </w:t>
      </w:r>
      <w:r w:rsidR="00172343">
        <w:fldChar w:fldCharType="begin"/>
      </w:r>
      <w:r w:rsidR="00172343">
        <w:instrText xml:space="preserve"> SEQ Wykres \* ARABIC </w:instrText>
      </w:r>
      <w:r w:rsidR="00172343">
        <w:fldChar w:fldCharType="separate"/>
      </w:r>
      <w:r w:rsidR="00A57C08">
        <w:rPr>
          <w:noProof/>
        </w:rPr>
        <w:t>3</w:t>
      </w:r>
      <w:r w:rsidR="00172343">
        <w:rPr>
          <w:noProof/>
        </w:rPr>
        <w:fldChar w:fldCharType="end"/>
      </w:r>
      <w:r>
        <w:t xml:space="preserve"> Wskaźnik obciążenia demograficznego.</w:t>
      </w:r>
      <w:bookmarkEnd w:id="18"/>
    </w:p>
    <w:p w:rsidR="00320C18" w:rsidRDefault="005505CA" w:rsidP="005505CA">
      <w:pPr>
        <w:pStyle w:val="Legenda"/>
      </w:pPr>
      <w:r>
        <w:rPr>
          <w:noProof/>
          <w:lang w:eastAsia="pl-PL"/>
        </w:rPr>
        <w:drawing>
          <wp:inline distT="0" distB="0" distL="0" distR="0" wp14:anchorId="133EA77A" wp14:editId="65ABAAB1">
            <wp:extent cx="5760720" cy="2552065"/>
            <wp:effectExtent l="0" t="0" r="11430" b="1968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5505CA">
        <w:t xml:space="preserve"> </w:t>
      </w:r>
      <w:r>
        <w:t>Źródło: Opracowanie własne na podstawie danych GUS: bdl.stat.gov.pl</w:t>
      </w:r>
    </w:p>
    <w:p w:rsidR="002437D3" w:rsidRDefault="002437D3" w:rsidP="00E4590B">
      <w:pPr>
        <w:ind w:firstLine="708"/>
        <w:jc w:val="both"/>
      </w:pPr>
      <w:r>
        <w:t xml:space="preserve">W układzie wewnątrzgminnym najbardziej zaludnioną miejscowością jest Gniewczyna Łańcucka. W tej miejscowości mieszka ponad ¼ wszystkich mieszkańców gminy Tryńcza. Drugie miejsce zajmują </w:t>
      </w:r>
      <w:r w:rsidR="00E4590B">
        <w:t>Gorzyce (16,08% ludności) i trzecie miejsce miejscowość centralna, w której mieści się siedziba Urzędu Gminy – Tryńcza z liczbą 1313 mieszkańców (15,59%).</w:t>
      </w:r>
    </w:p>
    <w:p w:rsidR="00E4590B" w:rsidRDefault="00E4590B" w:rsidP="00E4590B">
      <w:pPr>
        <w:jc w:val="both"/>
      </w:pPr>
      <w:r>
        <w:t>Najmniej zaludnioną miejscowością są: Wólka Małkowa, Wólka Ogryzkowa i Głogowiec (ok. 3,5% każda).</w:t>
      </w:r>
    </w:p>
    <w:p w:rsidR="007008B8" w:rsidRDefault="007008B8" w:rsidP="00E4590B">
      <w:pPr>
        <w:jc w:val="both"/>
      </w:pPr>
    </w:p>
    <w:p w:rsidR="006A7E1F" w:rsidRDefault="005505CA" w:rsidP="005505CA">
      <w:pPr>
        <w:pStyle w:val="Legenda"/>
      </w:pPr>
      <w:bookmarkStart w:id="19" w:name="_Toc495887777"/>
      <w:r>
        <w:t xml:space="preserve">Mapa </w:t>
      </w:r>
      <w:r w:rsidR="00172343">
        <w:fldChar w:fldCharType="begin"/>
      </w:r>
      <w:r w:rsidR="00172343">
        <w:instrText xml:space="preserve"> SEQ Mapa \* ARABIC </w:instrText>
      </w:r>
      <w:r w:rsidR="00172343">
        <w:fldChar w:fldCharType="separate"/>
      </w:r>
      <w:r w:rsidR="00883893">
        <w:rPr>
          <w:noProof/>
        </w:rPr>
        <w:t>2</w:t>
      </w:r>
      <w:r w:rsidR="00172343">
        <w:rPr>
          <w:noProof/>
        </w:rPr>
        <w:fldChar w:fldCharType="end"/>
      </w:r>
      <w:r>
        <w:t xml:space="preserve"> Liczba ludności w podziale na miejscowości gminy Tryńcza za 2014 rok</w:t>
      </w:r>
      <w:bookmarkEnd w:id="19"/>
    </w:p>
    <w:p w:rsidR="00131F04" w:rsidRPr="005505CA" w:rsidRDefault="005505CA" w:rsidP="00131F04">
      <w:pPr>
        <w:pStyle w:val="Legenda"/>
      </w:pPr>
      <w:r>
        <w:rPr>
          <w:noProof/>
          <w:lang w:eastAsia="pl-PL"/>
        </w:rPr>
        <w:drawing>
          <wp:inline distT="0" distB="0" distL="0" distR="0" wp14:anchorId="05C02B0F" wp14:editId="3840A15C">
            <wp:extent cx="5762625" cy="6067425"/>
            <wp:effectExtent l="0" t="0" r="9525"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6067425"/>
                    </a:xfrm>
                    <a:prstGeom prst="rect">
                      <a:avLst/>
                    </a:prstGeom>
                    <a:noFill/>
                    <a:ln>
                      <a:noFill/>
                    </a:ln>
                  </pic:spPr>
                </pic:pic>
              </a:graphicData>
            </a:graphic>
          </wp:inline>
        </w:drawing>
      </w:r>
      <w:r w:rsidR="00131F04">
        <w:t>Źródło: Opracowanie własne na podstawie danych gminy Tryńcza</w:t>
      </w:r>
    </w:p>
    <w:p w:rsidR="00131F04" w:rsidRDefault="00131F04" w:rsidP="00E4590B">
      <w:pPr>
        <w:pStyle w:val="Bezodstpw"/>
      </w:pPr>
      <w:bookmarkStart w:id="20" w:name="_Toc471940351"/>
    </w:p>
    <w:p w:rsidR="007008B8" w:rsidRDefault="007008B8" w:rsidP="00E4590B">
      <w:pPr>
        <w:pStyle w:val="Bezodstpw"/>
      </w:pPr>
    </w:p>
    <w:p w:rsidR="007008B8" w:rsidRDefault="007008B8" w:rsidP="00E4590B">
      <w:pPr>
        <w:pStyle w:val="Bezodstpw"/>
      </w:pPr>
    </w:p>
    <w:p w:rsidR="007008B8" w:rsidRDefault="007008B8" w:rsidP="007008B8">
      <w:pPr>
        <w:pStyle w:val="Nagwek2"/>
      </w:pPr>
      <w:bookmarkStart w:id="21" w:name="_Toc496558059"/>
      <w:r>
        <w:t>Rynek pracy</w:t>
      </w:r>
      <w:bookmarkEnd w:id="21"/>
      <w:r>
        <w:t xml:space="preserve"> </w:t>
      </w:r>
    </w:p>
    <w:p w:rsidR="007008B8" w:rsidRDefault="007008B8" w:rsidP="00E4590B">
      <w:pPr>
        <w:pStyle w:val="Bezodstpw"/>
      </w:pPr>
    </w:p>
    <w:p w:rsidR="007008B8" w:rsidRDefault="007008B8" w:rsidP="007008B8">
      <w:pPr>
        <w:pStyle w:val="Bezodstpw"/>
        <w:jc w:val="both"/>
      </w:pPr>
      <w:r w:rsidRPr="007008B8">
        <w:t>Na przestrzeni ostatnich lat liczba osób bezrobotnych w Gminie Tryńcza ulegała zmianom, polegającym zarówno na występowaniu tendencji wzrostowych, jak i spadkowych.</w:t>
      </w:r>
    </w:p>
    <w:p w:rsidR="002943F5" w:rsidRDefault="002943F5" w:rsidP="007008B8">
      <w:pPr>
        <w:pStyle w:val="Bezodstpw"/>
        <w:jc w:val="both"/>
      </w:pPr>
    </w:p>
    <w:p w:rsidR="002943F5" w:rsidRDefault="002943F5" w:rsidP="007008B8">
      <w:pPr>
        <w:pStyle w:val="Bezodstpw"/>
        <w:jc w:val="both"/>
      </w:pPr>
    </w:p>
    <w:p w:rsidR="007008B8" w:rsidRDefault="007008B8" w:rsidP="007008B8">
      <w:pPr>
        <w:pStyle w:val="Bezodstpw"/>
        <w:jc w:val="both"/>
      </w:pPr>
    </w:p>
    <w:p w:rsidR="007008B8" w:rsidRDefault="007008B8" w:rsidP="007008B8">
      <w:pPr>
        <w:pStyle w:val="Legenda"/>
      </w:pPr>
      <w:bookmarkStart w:id="22" w:name="_Toc495887818"/>
      <w:r>
        <w:lastRenderedPageBreak/>
        <w:t xml:space="preserve">Wykres </w:t>
      </w:r>
      <w:r w:rsidR="00172343">
        <w:fldChar w:fldCharType="begin"/>
      </w:r>
      <w:r w:rsidR="00172343">
        <w:instrText xml:space="preserve"> SEQ Wykres \* ARABIC </w:instrText>
      </w:r>
      <w:r w:rsidR="00172343">
        <w:fldChar w:fldCharType="separate"/>
      </w:r>
      <w:r w:rsidR="00A57C08">
        <w:rPr>
          <w:noProof/>
        </w:rPr>
        <w:t>4</w:t>
      </w:r>
      <w:r w:rsidR="00172343">
        <w:rPr>
          <w:noProof/>
        </w:rPr>
        <w:fldChar w:fldCharType="end"/>
      </w:r>
      <w:r>
        <w:t xml:space="preserve"> </w:t>
      </w:r>
      <w:r w:rsidR="00571AF7">
        <w:t>Bezrobotni zarejestrowani w latach 2006-2016</w:t>
      </w:r>
      <w:bookmarkEnd w:id="22"/>
    </w:p>
    <w:p w:rsidR="00571AF7" w:rsidRDefault="00571AF7" w:rsidP="00571AF7">
      <w:r>
        <w:rPr>
          <w:noProof/>
          <w:lang w:eastAsia="pl-PL"/>
        </w:rPr>
        <w:drawing>
          <wp:inline distT="0" distB="0" distL="0" distR="0" wp14:anchorId="69F75E37" wp14:editId="51E64D07">
            <wp:extent cx="5760720" cy="2139906"/>
            <wp:effectExtent l="0" t="0" r="11430" b="13335"/>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71AF7" w:rsidRDefault="00571AF7" w:rsidP="00571AF7">
      <w:pPr>
        <w:pStyle w:val="Legenda"/>
      </w:pPr>
      <w:r>
        <w:t>Źródło: Opracowanie własne na podstawie danych na podstawie danych GUS – przekroje terytorialne BDL</w:t>
      </w:r>
    </w:p>
    <w:p w:rsidR="00571AF7" w:rsidRDefault="00571AF7" w:rsidP="00571AF7">
      <w:pPr>
        <w:jc w:val="both"/>
      </w:pPr>
      <w:r>
        <w:t xml:space="preserve">Zauważalna jest tendencja zwiększonej stopy bezrobocia wśród kobiet 15,1% (w 2016 roku) w stosunku do stopy bezrobocia wśród mężczyzn – 9,7% w 2016 roku. </w:t>
      </w:r>
    </w:p>
    <w:p w:rsidR="00571AF7" w:rsidRDefault="00571AF7" w:rsidP="00571AF7">
      <w:pPr>
        <w:jc w:val="both"/>
      </w:pPr>
      <w:r>
        <w:t>Bardzo dużym problemem w gminie jest spadek liczby osób pracujących z ponad 1400 osób w 2008 roku do jedynie 571 osób w 2016 roku (z czego mężczyzn pracujących zarejestrowano 329 a kobiet 242).</w:t>
      </w:r>
      <w:r w:rsidR="00692D8C">
        <w:t xml:space="preserve"> Tym samym w 2016 roku na 1000 mieszkańców pracowało jedynie 68 osób – w porównaniu do 176 w roku 2008 (prawie trzykrotny spadek).</w:t>
      </w:r>
    </w:p>
    <w:p w:rsidR="00571AF7" w:rsidRDefault="00571AF7" w:rsidP="00571AF7">
      <w:pPr>
        <w:pStyle w:val="Legenda"/>
      </w:pPr>
      <w:bookmarkStart w:id="23" w:name="_Toc495887819"/>
      <w:r>
        <w:t xml:space="preserve">Wykres </w:t>
      </w:r>
      <w:r w:rsidR="00172343">
        <w:fldChar w:fldCharType="begin"/>
      </w:r>
      <w:r w:rsidR="00172343">
        <w:instrText xml:space="preserve"> SEQ Wykres \* ARABIC </w:instrText>
      </w:r>
      <w:r w:rsidR="00172343">
        <w:fldChar w:fldCharType="separate"/>
      </w:r>
      <w:r w:rsidR="00A57C08">
        <w:rPr>
          <w:noProof/>
        </w:rPr>
        <w:t>5</w:t>
      </w:r>
      <w:r w:rsidR="00172343">
        <w:rPr>
          <w:noProof/>
        </w:rPr>
        <w:fldChar w:fldCharType="end"/>
      </w:r>
      <w:r>
        <w:t xml:space="preserve"> Liczba osób pracujących na terenie gminy Tryńcza w latach 2006-2016</w:t>
      </w:r>
      <w:bookmarkEnd w:id="23"/>
    </w:p>
    <w:p w:rsidR="00571AF7" w:rsidRDefault="00571AF7" w:rsidP="00571AF7">
      <w:pPr>
        <w:jc w:val="both"/>
      </w:pPr>
      <w:r>
        <w:rPr>
          <w:noProof/>
          <w:lang w:eastAsia="pl-PL"/>
        </w:rPr>
        <w:drawing>
          <wp:inline distT="0" distB="0" distL="0" distR="0" wp14:anchorId="0B25F8B6" wp14:editId="4AC31890">
            <wp:extent cx="5760720" cy="2533100"/>
            <wp:effectExtent l="0" t="0" r="11430" b="1968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1AF7" w:rsidRDefault="00571AF7" w:rsidP="00571AF7">
      <w:pPr>
        <w:pStyle w:val="Legenda"/>
      </w:pPr>
      <w:r>
        <w:t>Źródło: Opracowanie własne na podstawie danych na podstawie danych GUS – przekroje terytorialne BDL</w:t>
      </w:r>
    </w:p>
    <w:p w:rsidR="00571AF7" w:rsidRPr="00571AF7" w:rsidRDefault="00571AF7" w:rsidP="00571AF7">
      <w:pPr>
        <w:jc w:val="both"/>
      </w:pPr>
    </w:p>
    <w:p w:rsidR="00571AF7" w:rsidRDefault="00692D8C" w:rsidP="00692D8C">
      <w:pPr>
        <w:jc w:val="both"/>
      </w:pPr>
      <w:r>
        <w:t>Tendencje spadku osób pracujących na terenie gminy nie znajdują odzwierciedlenia w liczbie podmiotów gospodarki narodowej. Liczba podmiotów w ostatnich latach rośnie – z 280 w 2006 roku do 433 w 2016 roku.</w:t>
      </w:r>
    </w:p>
    <w:p w:rsidR="002943F5" w:rsidRDefault="002943F5" w:rsidP="00692D8C">
      <w:pPr>
        <w:jc w:val="both"/>
      </w:pPr>
    </w:p>
    <w:p w:rsidR="00692D8C" w:rsidRDefault="00692D8C" w:rsidP="00692D8C">
      <w:pPr>
        <w:pStyle w:val="Legenda"/>
      </w:pPr>
      <w:bookmarkStart w:id="24" w:name="_Toc495887820"/>
      <w:r>
        <w:lastRenderedPageBreak/>
        <w:t xml:space="preserve">Wykres </w:t>
      </w:r>
      <w:r w:rsidR="00172343">
        <w:fldChar w:fldCharType="begin"/>
      </w:r>
      <w:r w:rsidR="00172343">
        <w:instrText xml:space="preserve"> SEQ Wykres \* ARABIC </w:instrText>
      </w:r>
      <w:r w:rsidR="00172343">
        <w:fldChar w:fldCharType="separate"/>
      </w:r>
      <w:r w:rsidR="00A57C08">
        <w:rPr>
          <w:noProof/>
        </w:rPr>
        <w:t>6</w:t>
      </w:r>
      <w:r w:rsidR="00172343">
        <w:rPr>
          <w:noProof/>
        </w:rPr>
        <w:fldChar w:fldCharType="end"/>
      </w:r>
      <w:r>
        <w:t xml:space="preserve"> Liczba podmiotów gospodarki narodowej na terenie gminy Tryńcza w latach 2006-2016</w:t>
      </w:r>
      <w:bookmarkEnd w:id="24"/>
    </w:p>
    <w:p w:rsidR="00692D8C" w:rsidRDefault="00692D8C" w:rsidP="00692D8C">
      <w:pPr>
        <w:jc w:val="both"/>
      </w:pPr>
      <w:r>
        <w:rPr>
          <w:noProof/>
          <w:lang w:eastAsia="pl-PL"/>
        </w:rPr>
        <w:drawing>
          <wp:inline distT="0" distB="0" distL="0" distR="0" wp14:anchorId="399219DD" wp14:editId="34F70D0D">
            <wp:extent cx="5760720" cy="2767669"/>
            <wp:effectExtent l="0" t="0" r="11430" b="1397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92D8C" w:rsidRDefault="00692D8C" w:rsidP="00692D8C">
      <w:pPr>
        <w:pStyle w:val="Legenda"/>
      </w:pPr>
      <w:r>
        <w:t>Źródło: Opracowanie własne na podstawie danych na podstawie danych GUS – przekroje terytorialne BDL</w:t>
      </w:r>
    </w:p>
    <w:p w:rsidR="00692D8C" w:rsidRDefault="00692D8C" w:rsidP="007522F0">
      <w:pPr>
        <w:jc w:val="both"/>
      </w:pPr>
      <w:r>
        <w:t>Tym samym w roku 2016 roku na terenie gminy swoją działalność prowadziło:  21 podmiotów publicznych</w:t>
      </w:r>
      <w:r w:rsidR="007522F0">
        <w:t xml:space="preserve"> (w tym 16 jednostek prawa budżetowego) oraz 347 osób fizycznych prowadzących działalność gospodarczą, 14 spółek prawa handlowego, 3 spółki handlowe z udziałem kapitału zagranicznego, 2 prywatne spółdzielnie oraz 21 stowarzyszeń i organizacji społecznych.</w:t>
      </w:r>
    </w:p>
    <w:p w:rsidR="007522F0" w:rsidRDefault="007522F0" w:rsidP="007522F0">
      <w:pPr>
        <w:jc w:val="both"/>
      </w:pPr>
      <w:r>
        <w:t>Spadek liczby osób pracujących może tłumaczyć upadłość Fabryki Wagonów w Gniewczynie Łańcuckiej</w:t>
      </w:r>
      <w:r>
        <w:rPr>
          <w:rStyle w:val="Odwoanieprzypisudolnego"/>
        </w:rPr>
        <w:footnoteReference w:id="2"/>
      </w:r>
      <w:r w:rsidR="00CF233E">
        <w:t xml:space="preserve"> spółki kapitału słowackiego - </w:t>
      </w:r>
      <w:r>
        <w:t xml:space="preserve"> decyzją Sądu Rejonowego z dnia 15 stycznia 2015 r., Fabryka została postawiona w stan upadłości likwidacyjnej tym samym pracę straciło około 600 pracowników.</w:t>
      </w:r>
    </w:p>
    <w:p w:rsidR="007522F0" w:rsidRDefault="007522F0" w:rsidP="007522F0">
      <w:pPr>
        <w:jc w:val="both"/>
      </w:pPr>
      <w:r>
        <w:t>We wrześniu 2015 r., nowo utworzona Spółka Fabryka Wagonów Gniewczyna Sp. z o.o. podpisała ze słowacką firmą Forespo (właścicielem nieruchomości) umowę dzierżawy części majątku. Wciąż nie podjęto decyzji o dalszym losie byłej fabryki wagonów.</w:t>
      </w:r>
    </w:p>
    <w:p w:rsidR="007522F0" w:rsidRDefault="007522F0" w:rsidP="007522F0">
      <w:pPr>
        <w:jc w:val="both"/>
      </w:pPr>
    </w:p>
    <w:p w:rsidR="007008B8" w:rsidRDefault="007522F0" w:rsidP="007522F0">
      <w:pPr>
        <w:pStyle w:val="Nagwek2"/>
      </w:pPr>
      <w:bookmarkStart w:id="25" w:name="_Toc496558060"/>
      <w:r>
        <w:t>Pomoc społeczna</w:t>
      </w:r>
      <w:bookmarkEnd w:id="25"/>
      <w:r>
        <w:t xml:space="preserve"> </w:t>
      </w:r>
    </w:p>
    <w:p w:rsidR="007008B8" w:rsidRDefault="007008B8" w:rsidP="00E4590B">
      <w:pPr>
        <w:pStyle w:val="Bezodstpw"/>
      </w:pPr>
    </w:p>
    <w:p w:rsidR="0005759E" w:rsidRPr="0005759E" w:rsidRDefault="0005759E" w:rsidP="0005759E">
      <w:pPr>
        <w:ind w:firstLine="567"/>
        <w:jc w:val="both"/>
        <w:rPr>
          <w:rFonts w:cstheme="minorHAnsi"/>
        </w:rPr>
      </w:pPr>
      <w:r w:rsidRPr="0005759E">
        <w:rPr>
          <w:rFonts w:cstheme="minorHAnsi"/>
        </w:rPr>
        <w:t>Instytucją odpowiedzialną za realizację zadań z zakresu pomocy społecznej jest Gminny Ośrodek Pomocy Społecznej w Tryńczy. Jest on głównym inicjatorem działań o charakterze pomocowym, aktywizującym oraz integrującym różnorodne środowiska na rzecz wsparcia grup i osób zagrożonych wykluczeniem społecznym.</w:t>
      </w:r>
    </w:p>
    <w:p w:rsidR="0005759E" w:rsidRPr="0005759E" w:rsidRDefault="0005759E" w:rsidP="0005759E">
      <w:pPr>
        <w:spacing w:after="0"/>
        <w:jc w:val="both"/>
        <w:rPr>
          <w:rFonts w:cstheme="minorHAnsi"/>
        </w:rPr>
      </w:pPr>
      <w:r w:rsidRPr="0005759E">
        <w:rPr>
          <w:rFonts w:cstheme="minorHAnsi"/>
        </w:rPr>
        <w:t>Do zadań realizowanych przez Gminny Ośrodek Pomocy Społecznej w Tryńczy należą:</w:t>
      </w:r>
    </w:p>
    <w:p w:rsidR="0005759E" w:rsidRPr="0005759E" w:rsidRDefault="0005759E" w:rsidP="0005759E">
      <w:pPr>
        <w:pStyle w:val="Akapitzlist"/>
        <w:numPr>
          <w:ilvl w:val="0"/>
          <w:numId w:val="6"/>
        </w:numPr>
        <w:jc w:val="both"/>
        <w:rPr>
          <w:rFonts w:cstheme="minorHAnsi"/>
          <w:szCs w:val="24"/>
        </w:rPr>
      </w:pPr>
      <w:r w:rsidRPr="0005759E">
        <w:rPr>
          <w:rFonts w:cstheme="minorHAnsi"/>
        </w:rPr>
        <w:lastRenderedPageBreak/>
        <w:t>zadania realizowane w oparciu o ustawę o pomocy społecznej (</w:t>
      </w:r>
      <w:r w:rsidRPr="0005759E">
        <w:rPr>
          <w:rFonts w:cstheme="minorHAnsi"/>
          <w:szCs w:val="24"/>
        </w:rPr>
        <w:t>zasiłki i pomoc w naturze, zasiłki stałe, zasiłki okresowe, realizacja dożywiania dzieci w szkołach, usługi opiekuńcze, ocena zasobów pomocy społecznej od 2011 r., opiekun prawny od 2012 r., specjalistyczne usługi opiekuńcze od 2012 r.),</w:t>
      </w:r>
    </w:p>
    <w:p w:rsidR="0005759E" w:rsidRPr="0005759E" w:rsidRDefault="0005759E" w:rsidP="0005759E">
      <w:pPr>
        <w:pStyle w:val="Akapitzlist"/>
        <w:numPr>
          <w:ilvl w:val="0"/>
          <w:numId w:val="6"/>
        </w:numPr>
        <w:jc w:val="both"/>
        <w:rPr>
          <w:rFonts w:cstheme="minorHAnsi"/>
          <w:szCs w:val="24"/>
        </w:rPr>
      </w:pPr>
      <w:r w:rsidRPr="0005759E">
        <w:rPr>
          <w:rFonts w:cstheme="minorHAnsi"/>
        </w:rPr>
        <w:t>zadania realizowane w oparciu o ustawę o świadczeniach rodzinnych (</w:t>
      </w:r>
      <w:r w:rsidRPr="0005759E">
        <w:rPr>
          <w:rFonts w:cstheme="minorHAnsi"/>
          <w:szCs w:val="24"/>
        </w:rPr>
        <w:t>zasiłki rodzinne wraz z dodatkami, świadczenia pielęgnacyjne, zasiłki pielęgnacyjne, specjalny zasiłek opiekuńczy od 2013 r., zasiłek dla opiekuna od 2014 r.),</w:t>
      </w:r>
    </w:p>
    <w:p w:rsidR="0005759E" w:rsidRPr="0005759E" w:rsidRDefault="0005759E" w:rsidP="0005759E">
      <w:pPr>
        <w:pStyle w:val="Akapitzlist"/>
        <w:numPr>
          <w:ilvl w:val="0"/>
          <w:numId w:val="6"/>
        </w:numPr>
        <w:jc w:val="both"/>
        <w:rPr>
          <w:rFonts w:cstheme="minorHAnsi"/>
          <w:szCs w:val="24"/>
        </w:rPr>
      </w:pPr>
      <w:r w:rsidRPr="0005759E">
        <w:rPr>
          <w:rFonts w:cstheme="minorHAnsi"/>
        </w:rPr>
        <w:t>zadania realizowane w oparciu o ustawę o pomocy osobo uprawnionym do alimentów (</w:t>
      </w:r>
      <w:r w:rsidRPr="0005759E">
        <w:rPr>
          <w:rFonts w:cstheme="minorHAnsi"/>
          <w:szCs w:val="24"/>
        </w:rPr>
        <w:t>świadczenia dla osób uprawnionych do alimentów),</w:t>
      </w:r>
    </w:p>
    <w:p w:rsidR="0005759E" w:rsidRPr="0005759E" w:rsidRDefault="0005759E" w:rsidP="0005759E">
      <w:pPr>
        <w:pStyle w:val="Akapitzlist"/>
        <w:numPr>
          <w:ilvl w:val="0"/>
          <w:numId w:val="6"/>
        </w:numPr>
        <w:jc w:val="both"/>
        <w:rPr>
          <w:rFonts w:cstheme="minorHAnsi"/>
          <w:szCs w:val="24"/>
        </w:rPr>
      </w:pPr>
      <w:r w:rsidRPr="0005759E">
        <w:rPr>
          <w:rFonts w:cstheme="minorHAnsi"/>
        </w:rPr>
        <w:t>zadania realizowane w oparciu o ustawę o wspieraniu rodziny i systemie pieczy zastępczej (</w:t>
      </w:r>
      <w:r w:rsidRPr="0005759E">
        <w:rPr>
          <w:rFonts w:cstheme="minorHAnsi"/>
          <w:szCs w:val="24"/>
        </w:rPr>
        <w:t>asystent rodziny od 2012 r., placówki opiekuńczo-wychowawcze od 2012 r., rodziny zastępcze od 2012 r.),</w:t>
      </w:r>
    </w:p>
    <w:p w:rsidR="0005759E" w:rsidRPr="0005759E" w:rsidRDefault="0005759E" w:rsidP="0005759E">
      <w:pPr>
        <w:pStyle w:val="Akapitzlist"/>
        <w:numPr>
          <w:ilvl w:val="0"/>
          <w:numId w:val="6"/>
        </w:numPr>
        <w:jc w:val="both"/>
        <w:rPr>
          <w:rFonts w:cstheme="minorHAnsi"/>
          <w:szCs w:val="24"/>
        </w:rPr>
      </w:pPr>
      <w:r w:rsidRPr="0005759E">
        <w:rPr>
          <w:rFonts w:cstheme="minorHAnsi"/>
        </w:rPr>
        <w:t>zadania realizowane w oparciu o ustawę o pomocy rodzinom wielodzietnym – Karta Dużej Rodziny (</w:t>
      </w:r>
      <w:r w:rsidRPr="0005759E">
        <w:rPr>
          <w:rFonts w:cstheme="minorHAnsi"/>
          <w:szCs w:val="24"/>
        </w:rPr>
        <w:t>ogólnopolska karta dużej rodziny od 2014 r.),</w:t>
      </w:r>
    </w:p>
    <w:p w:rsidR="0005759E" w:rsidRPr="0005759E" w:rsidRDefault="0005759E" w:rsidP="0005759E">
      <w:pPr>
        <w:pStyle w:val="Akapitzlist"/>
        <w:numPr>
          <w:ilvl w:val="0"/>
          <w:numId w:val="6"/>
        </w:numPr>
        <w:jc w:val="both"/>
        <w:rPr>
          <w:rFonts w:cstheme="minorHAnsi"/>
          <w:szCs w:val="24"/>
        </w:rPr>
      </w:pPr>
      <w:r w:rsidRPr="0005759E">
        <w:rPr>
          <w:rFonts w:cstheme="minorHAnsi"/>
        </w:rPr>
        <w:t>zadania realizowane w oparciu o ustawę o dodatkach mieszkaniowych (</w:t>
      </w:r>
      <w:r w:rsidRPr="0005759E">
        <w:rPr>
          <w:rFonts w:cstheme="minorHAnsi"/>
          <w:szCs w:val="24"/>
        </w:rPr>
        <w:t>dodatki mieszkaniowe, dodatki energetyczne od 2013 r.),</w:t>
      </w:r>
    </w:p>
    <w:p w:rsidR="0005759E" w:rsidRPr="0005759E" w:rsidRDefault="0005759E" w:rsidP="0005759E">
      <w:pPr>
        <w:pStyle w:val="Akapitzlist"/>
        <w:numPr>
          <w:ilvl w:val="0"/>
          <w:numId w:val="6"/>
        </w:numPr>
        <w:jc w:val="both"/>
        <w:rPr>
          <w:rFonts w:cstheme="minorHAnsi"/>
          <w:szCs w:val="24"/>
        </w:rPr>
      </w:pPr>
      <w:r w:rsidRPr="0005759E">
        <w:rPr>
          <w:rFonts w:cstheme="minorHAnsi"/>
        </w:rPr>
        <w:t>zadania realizowane w oparciu o ustawę o przeciwdziałaniu przemocy w rodzinie (</w:t>
      </w:r>
      <w:r w:rsidRPr="0005759E">
        <w:rPr>
          <w:rFonts w:cstheme="minorHAnsi"/>
          <w:szCs w:val="24"/>
        </w:rPr>
        <w:t>powołanie Gminnych Zespołów ds. przeciwdziałania przemocy w rodzinie oraz grup roboczych od 2012 r., realizacja Niebieskich Kart od 2012 r.),</w:t>
      </w:r>
    </w:p>
    <w:p w:rsidR="0005759E" w:rsidRPr="0005759E" w:rsidRDefault="0005759E" w:rsidP="0005759E">
      <w:pPr>
        <w:pStyle w:val="Akapitzlist"/>
        <w:numPr>
          <w:ilvl w:val="0"/>
          <w:numId w:val="6"/>
        </w:numPr>
        <w:jc w:val="both"/>
        <w:rPr>
          <w:rFonts w:cstheme="minorHAnsi"/>
          <w:szCs w:val="24"/>
        </w:rPr>
      </w:pPr>
      <w:r w:rsidRPr="0005759E">
        <w:rPr>
          <w:rFonts w:cstheme="minorHAnsi"/>
        </w:rPr>
        <w:t>zadania realizowane w oparciu o ustawę o wychowaniu w trzeźwości (r</w:t>
      </w:r>
      <w:r w:rsidRPr="0005759E">
        <w:rPr>
          <w:rFonts w:cstheme="minorHAnsi"/>
          <w:szCs w:val="24"/>
        </w:rPr>
        <w:t>ealizacja Gminnego programu przeciwdziałania alkoholizmowi oraz obsługa Gminnej Komisji Rozwiązywania Problemów Alkoholowych od 2011 r.),</w:t>
      </w:r>
    </w:p>
    <w:p w:rsidR="007008B8" w:rsidRPr="0005759E" w:rsidRDefault="0005759E" w:rsidP="0005759E">
      <w:pPr>
        <w:pStyle w:val="Akapitzlist"/>
        <w:numPr>
          <w:ilvl w:val="0"/>
          <w:numId w:val="6"/>
        </w:numPr>
        <w:jc w:val="both"/>
        <w:rPr>
          <w:rFonts w:cstheme="minorHAnsi"/>
          <w:szCs w:val="24"/>
        </w:rPr>
      </w:pPr>
      <w:r w:rsidRPr="0005759E">
        <w:rPr>
          <w:rFonts w:cstheme="minorHAnsi"/>
        </w:rPr>
        <w:t>zadania realizowane w oparciu o ustawę o systemie oświaty (</w:t>
      </w:r>
      <w:r w:rsidRPr="0005759E">
        <w:rPr>
          <w:rFonts w:cstheme="minorHAnsi"/>
          <w:szCs w:val="24"/>
        </w:rPr>
        <w:t>stypendia pomoc uczniom o charakterze materialnym od 2011 r.),</w:t>
      </w:r>
    </w:p>
    <w:p w:rsidR="0005759E" w:rsidRPr="0005759E" w:rsidRDefault="0005759E" w:rsidP="0005759E">
      <w:pPr>
        <w:pStyle w:val="Akapitzlist"/>
        <w:numPr>
          <w:ilvl w:val="0"/>
          <w:numId w:val="6"/>
        </w:numPr>
        <w:jc w:val="both"/>
        <w:rPr>
          <w:rFonts w:cstheme="minorHAnsi"/>
          <w:szCs w:val="24"/>
        </w:rPr>
      </w:pPr>
      <w:r w:rsidRPr="0005759E">
        <w:rPr>
          <w:rFonts w:cstheme="minorHAnsi"/>
        </w:rPr>
        <w:t>pomoc żywnościowa (</w:t>
      </w:r>
      <w:r w:rsidRPr="0005759E">
        <w:rPr>
          <w:rFonts w:cstheme="minorHAnsi"/>
          <w:szCs w:val="24"/>
        </w:rPr>
        <w:t xml:space="preserve">produkty spożywcze z Banku Żywności w Rzeszowie </w:t>
      </w:r>
      <w:r w:rsidRPr="0005759E">
        <w:rPr>
          <w:rFonts w:cstheme="minorHAnsi"/>
          <w:szCs w:val="24"/>
        </w:rPr>
        <w:br/>
        <w:t xml:space="preserve">za pośrednictwem stowarzyszenia Wiara od 2012 r., warzywa z własnej uprawy </w:t>
      </w:r>
      <w:r w:rsidRPr="0005759E">
        <w:rPr>
          <w:rFonts w:cstheme="minorHAnsi"/>
          <w:szCs w:val="24"/>
        </w:rPr>
        <w:br/>
        <w:t>od 2011 r.),</w:t>
      </w:r>
    </w:p>
    <w:p w:rsidR="0005759E" w:rsidRPr="0005759E" w:rsidRDefault="0005759E" w:rsidP="0005759E">
      <w:pPr>
        <w:pStyle w:val="Akapitzlist"/>
        <w:numPr>
          <w:ilvl w:val="0"/>
          <w:numId w:val="6"/>
        </w:numPr>
        <w:jc w:val="both"/>
        <w:rPr>
          <w:rFonts w:cstheme="minorHAnsi"/>
          <w:szCs w:val="24"/>
        </w:rPr>
      </w:pPr>
      <w:r w:rsidRPr="0005759E">
        <w:rPr>
          <w:rFonts w:cstheme="minorHAnsi"/>
          <w:szCs w:val="24"/>
        </w:rPr>
        <w:t>pomoc rzeczowa (obsługa kramika wzajemnej pomocy od 2012 r., wypożyczalnia sprzętu rehabilitacyjnego od 2014 r.),</w:t>
      </w:r>
    </w:p>
    <w:p w:rsidR="0005759E" w:rsidRDefault="0005759E" w:rsidP="0005759E">
      <w:pPr>
        <w:pStyle w:val="Akapitzlist"/>
        <w:numPr>
          <w:ilvl w:val="0"/>
          <w:numId w:val="6"/>
        </w:numPr>
        <w:jc w:val="both"/>
        <w:rPr>
          <w:rFonts w:cstheme="minorHAnsi"/>
          <w:szCs w:val="24"/>
        </w:rPr>
      </w:pPr>
      <w:r w:rsidRPr="0005759E">
        <w:rPr>
          <w:rFonts w:cstheme="minorHAnsi"/>
          <w:szCs w:val="24"/>
        </w:rPr>
        <w:t xml:space="preserve">aktywizacja bezrobotnych (prowadzenie banku ofert od 2012 r., doradztwo zawodowe </w:t>
      </w:r>
      <w:r w:rsidRPr="0005759E">
        <w:rPr>
          <w:rFonts w:cstheme="minorHAnsi"/>
          <w:szCs w:val="24"/>
        </w:rPr>
        <w:br/>
        <w:t xml:space="preserve">dla bezrobotnych w ośrodku od 2012 r., realizacja prac społecznie użytecznych oraz robót publicznych i interwencyjnych, organizacja staży dla uczestników projektu „Czas </w:t>
      </w:r>
      <w:r w:rsidRPr="0005759E">
        <w:rPr>
          <w:rFonts w:cstheme="minorHAnsi"/>
          <w:szCs w:val="24"/>
        </w:rPr>
        <w:br/>
        <w:t>na aktywność w gminie Tryńcza” – od 2013 r.)</w:t>
      </w:r>
    </w:p>
    <w:p w:rsidR="0005759E" w:rsidRDefault="0005759E" w:rsidP="0005759E">
      <w:pPr>
        <w:pStyle w:val="Akapitzlist"/>
        <w:numPr>
          <w:ilvl w:val="0"/>
          <w:numId w:val="6"/>
        </w:numPr>
        <w:jc w:val="both"/>
        <w:rPr>
          <w:rFonts w:cstheme="minorHAnsi"/>
          <w:szCs w:val="24"/>
        </w:rPr>
      </w:pPr>
      <w:r>
        <w:rPr>
          <w:rFonts w:cstheme="minorHAnsi"/>
          <w:szCs w:val="24"/>
        </w:rPr>
        <w:t>obsługa Programu 500+ od 2016r.</w:t>
      </w:r>
      <w:r w:rsidRPr="0005759E">
        <w:rPr>
          <w:rFonts w:cstheme="minorHAnsi"/>
          <w:szCs w:val="24"/>
        </w:rPr>
        <w:t>.</w:t>
      </w:r>
    </w:p>
    <w:p w:rsidR="00220586" w:rsidRDefault="00220586" w:rsidP="00220586">
      <w:pPr>
        <w:jc w:val="both"/>
        <w:rPr>
          <w:rFonts w:cstheme="minorHAnsi"/>
          <w:szCs w:val="24"/>
        </w:rPr>
      </w:pPr>
    </w:p>
    <w:p w:rsidR="00220586" w:rsidRDefault="00220586" w:rsidP="00220586">
      <w:pPr>
        <w:jc w:val="both"/>
        <w:rPr>
          <w:rFonts w:cstheme="minorHAnsi"/>
          <w:szCs w:val="24"/>
        </w:rPr>
      </w:pPr>
    </w:p>
    <w:p w:rsidR="00220586" w:rsidRPr="00220586" w:rsidRDefault="00220586" w:rsidP="00220586">
      <w:pPr>
        <w:jc w:val="both"/>
        <w:rPr>
          <w:rFonts w:cstheme="minorHAnsi"/>
          <w:szCs w:val="24"/>
        </w:rPr>
      </w:pPr>
      <w:r w:rsidRPr="00220586">
        <w:rPr>
          <w:rFonts w:cstheme="minorHAnsi"/>
          <w:szCs w:val="24"/>
        </w:rPr>
        <w:t xml:space="preserve">Główne działania GOPS to minimalizowanie zjawiska marginalizacji, wykluczenia, ale też wysiłki we wspieraniu osób i rodzin w zaspakajaniu niezbędnych potrzeb oraz umożliwienie im życia warunkach odpowiadających godności człowieka. System działań obejmuje rozmaite instrumenty zarówno pomocy finansowej, jak i niefinansowej </w:t>
      </w:r>
      <w:r>
        <w:rPr>
          <w:rFonts w:cstheme="minorHAnsi"/>
          <w:szCs w:val="24"/>
        </w:rPr>
        <w:t xml:space="preserve"> </w:t>
      </w:r>
      <w:r w:rsidRPr="00220586">
        <w:rPr>
          <w:rFonts w:cstheme="minorHAnsi"/>
          <w:szCs w:val="24"/>
        </w:rPr>
        <w:t xml:space="preserve">z zakresu pomocy społecznej, świadczeń rodzinnych, pomocy osobom uprawnionym </w:t>
      </w:r>
      <w:r>
        <w:rPr>
          <w:rFonts w:cstheme="minorHAnsi"/>
          <w:szCs w:val="24"/>
        </w:rPr>
        <w:t xml:space="preserve"> </w:t>
      </w:r>
      <w:r w:rsidRPr="00220586">
        <w:rPr>
          <w:rFonts w:cstheme="minorHAnsi"/>
          <w:szCs w:val="24"/>
        </w:rPr>
        <w:t>do alimentów, wsparcia rodziny i pieczy zastępczej.</w:t>
      </w:r>
    </w:p>
    <w:p w:rsidR="00220586" w:rsidRPr="00220586" w:rsidRDefault="00220586" w:rsidP="00471A7F">
      <w:pPr>
        <w:pStyle w:val="Bezodstpw"/>
        <w:spacing w:line="276" w:lineRule="auto"/>
        <w:jc w:val="both"/>
      </w:pPr>
      <w:r w:rsidRPr="00220586">
        <w:lastRenderedPageBreak/>
        <w:t>Celem działalności Ośrodka jest organizacja i wykonywanie zadań z zakresu pomocy społecznej na terenie Gminy Tryńcza poprzez:</w:t>
      </w:r>
    </w:p>
    <w:p w:rsidR="00220586" w:rsidRPr="00220586" w:rsidRDefault="00220586" w:rsidP="00471A7F">
      <w:pPr>
        <w:pStyle w:val="Bezodstpw"/>
        <w:numPr>
          <w:ilvl w:val="0"/>
          <w:numId w:val="7"/>
        </w:numPr>
        <w:spacing w:line="276" w:lineRule="auto"/>
        <w:jc w:val="both"/>
      </w:pPr>
      <w:r w:rsidRPr="00220586">
        <w:t>systemowe i kompleksowe udzielanie wsparcia i pomocy osobom oraz rodzinom znajdującym się w trudnej sytuacji życiowej, których nie są w stanie samodzielnie pokonać,</w:t>
      </w:r>
    </w:p>
    <w:p w:rsidR="00220586" w:rsidRPr="00220586" w:rsidRDefault="00220586" w:rsidP="00471A7F">
      <w:pPr>
        <w:pStyle w:val="Bezodstpw"/>
        <w:numPr>
          <w:ilvl w:val="0"/>
          <w:numId w:val="7"/>
        </w:numPr>
        <w:spacing w:line="276" w:lineRule="auto"/>
        <w:jc w:val="both"/>
      </w:pPr>
      <w:r w:rsidRPr="00220586">
        <w:t>podejmowanie zadań zmierzających do usamodzielnienia się osób i rodzin oraz ich integracji ze środowiskiem,</w:t>
      </w:r>
    </w:p>
    <w:p w:rsidR="00220586" w:rsidRPr="00220586" w:rsidRDefault="00220586" w:rsidP="00471A7F">
      <w:pPr>
        <w:pStyle w:val="Bezodstpw"/>
        <w:numPr>
          <w:ilvl w:val="0"/>
          <w:numId w:val="7"/>
        </w:numPr>
        <w:spacing w:line="276" w:lineRule="auto"/>
        <w:jc w:val="both"/>
      </w:pPr>
      <w:r w:rsidRPr="00220586">
        <w:t>reintegrację społeczną i zawodową osób zagrożonych wykluczeniem społecznym,</w:t>
      </w:r>
    </w:p>
    <w:p w:rsidR="00220586" w:rsidRPr="00220586" w:rsidRDefault="00220586" w:rsidP="00471A7F">
      <w:pPr>
        <w:pStyle w:val="Bezodstpw"/>
        <w:numPr>
          <w:ilvl w:val="0"/>
          <w:numId w:val="7"/>
        </w:numPr>
        <w:spacing w:line="276" w:lineRule="auto"/>
        <w:jc w:val="both"/>
      </w:pPr>
      <w:r w:rsidRPr="00220586">
        <w:t>analizę i ocenę zjawisk rodzących zapotrzebowanie na świadczenie z pomocy społecznej</w:t>
      </w:r>
    </w:p>
    <w:p w:rsidR="0005759E" w:rsidRDefault="0005759E" w:rsidP="00471A7F">
      <w:pPr>
        <w:pStyle w:val="Bezodstpw"/>
        <w:spacing w:line="276" w:lineRule="auto"/>
        <w:jc w:val="both"/>
      </w:pPr>
    </w:p>
    <w:p w:rsidR="00F23FA4" w:rsidRDefault="00220586" w:rsidP="00471A7F">
      <w:pPr>
        <w:ind w:firstLine="567"/>
        <w:jc w:val="both"/>
      </w:pPr>
      <w:r w:rsidRPr="00EE4F55">
        <w:t xml:space="preserve">W </w:t>
      </w:r>
      <w:r>
        <w:t xml:space="preserve">okresie referencyjnym dla diagnozy tj. </w:t>
      </w:r>
      <w:r w:rsidRPr="00EE4F55">
        <w:t>2014 r. pomocą społeczną objęto 31</w:t>
      </w:r>
      <w:r>
        <w:t>7</w:t>
      </w:r>
      <w:r w:rsidRPr="00EE4F55">
        <w:t xml:space="preserve"> rodzin</w:t>
      </w:r>
      <w:r w:rsidR="00F23FA4">
        <w:t>.</w:t>
      </w:r>
    </w:p>
    <w:p w:rsidR="007008B8" w:rsidRDefault="0005759E" w:rsidP="0005759E">
      <w:pPr>
        <w:pStyle w:val="Legenda"/>
      </w:pPr>
      <w:bookmarkStart w:id="26" w:name="_Toc495887821"/>
      <w:r>
        <w:t xml:space="preserve">Wykres </w:t>
      </w:r>
      <w:r w:rsidR="00172343">
        <w:fldChar w:fldCharType="begin"/>
      </w:r>
      <w:r w:rsidR="00172343">
        <w:instrText xml:space="preserve"> SEQ Wykres \* ARABIC </w:instrText>
      </w:r>
      <w:r w:rsidR="00172343">
        <w:fldChar w:fldCharType="separate"/>
      </w:r>
      <w:r w:rsidR="00A57C08">
        <w:rPr>
          <w:noProof/>
        </w:rPr>
        <w:t>7</w:t>
      </w:r>
      <w:r w:rsidR="00172343">
        <w:rPr>
          <w:noProof/>
        </w:rPr>
        <w:fldChar w:fldCharType="end"/>
      </w:r>
      <w:r w:rsidRPr="0005759E">
        <w:t xml:space="preserve">  Gospodarstwa domowe korzystające ze środowiskowej pomocy społecznej wg kryterium dochodowego</w:t>
      </w:r>
      <w:bookmarkEnd w:id="26"/>
    </w:p>
    <w:p w:rsidR="0005759E" w:rsidRPr="0005759E" w:rsidRDefault="0005759E" w:rsidP="0005759E">
      <w:pPr>
        <w:pStyle w:val="Bezodstpw"/>
      </w:pPr>
      <w:r>
        <w:rPr>
          <w:noProof/>
          <w:lang w:eastAsia="pl-PL"/>
        </w:rPr>
        <w:drawing>
          <wp:inline distT="0" distB="0" distL="0" distR="0" wp14:anchorId="04BC766E" wp14:editId="4D18111C">
            <wp:extent cx="5581650" cy="2171700"/>
            <wp:effectExtent l="0" t="0" r="19050" b="1905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5759E" w:rsidRDefault="0005759E" w:rsidP="0005759E">
      <w:pPr>
        <w:pStyle w:val="Legenda"/>
      </w:pPr>
      <w:r>
        <w:t>Źródło: Opracowanie własne na podstawie danych na podstawie danych GUS – przekroje terytorialne BDL</w:t>
      </w:r>
    </w:p>
    <w:p w:rsidR="00F23FA4" w:rsidRDefault="00F23FA4" w:rsidP="00F23FA4">
      <w:pPr>
        <w:ind w:firstLine="567"/>
        <w:jc w:val="both"/>
      </w:pPr>
    </w:p>
    <w:p w:rsidR="00F23FA4" w:rsidRPr="00EE4F55" w:rsidRDefault="00F23FA4" w:rsidP="00F23FA4">
      <w:pPr>
        <w:ind w:firstLine="567"/>
        <w:jc w:val="both"/>
      </w:pPr>
      <w:r w:rsidRPr="00EE4F55">
        <w:t xml:space="preserve">W </w:t>
      </w:r>
      <w:r>
        <w:t xml:space="preserve">okresie referencyjnym dla diagnozy tj. </w:t>
      </w:r>
      <w:r w:rsidRPr="00EE4F55">
        <w:t>2014 r. pomocą społeczną objęto 1</w:t>
      </w:r>
      <w:r>
        <w:t xml:space="preserve"> 219</w:t>
      </w:r>
      <w:r w:rsidRPr="00EE4F55">
        <w:t xml:space="preserve"> osób w tych rodzinach. </w:t>
      </w:r>
      <w:r>
        <w:t xml:space="preserve"> </w:t>
      </w:r>
      <w:r w:rsidRPr="00EE4F55">
        <w:t xml:space="preserve">W stosunku do liczby mieszkańców na koniec grudnia 2014 r. stanowi to odsetek wynoszący </w:t>
      </w:r>
      <w:r>
        <w:t>14,60</w:t>
      </w:r>
      <w:r w:rsidRPr="00EE4F55">
        <w:t>%</w:t>
      </w:r>
      <w:r>
        <w:t xml:space="preserve"> [dla porównania w roku 2014 odsetek osób korzystających z pomocy społecznej w powiecie przeworskim wyniósł 10,40% a w województwie 10,44%).</w:t>
      </w:r>
    </w:p>
    <w:p w:rsidR="007008B8" w:rsidRDefault="007008B8" w:rsidP="00E4590B">
      <w:pPr>
        <w:pStyle w:val="Bezodstpw"/>
      </w:pPr>
    </w:p>
    <w:p w:rsidR="0005759E" w:rsidRDefault="0005759E" w:rsidP="0005759E">
      <w:pPr>
        <w:pStyle w:val="Legenda"/>
      </w:pPr>
      <w:bookmarkStart w:id="27" w:name="_Toc495887822"/>
      <w:r>
        <w:t xml:space="preserve">Wykres </w:t>
      </w:r>
      <w:r w:rsidR="00172343">
        <w:fldChar w:fldCharType="begin"/>
      </w:r>
      <w:r w:rsidR="00172343">
        <w:instrText xml:space="preserve"> SEQ Wykres \* ARABIC </w:instrText>
      </w:r>
      <w:r w:rsidR="00172343">
        <w:fldChar w:fldCharType="separate"/>
      </w:r>
      <w:r w:rsidR="00A57C08">
        <w:rPr>
          <w:noProof/>
        </w:rPr>
        <w:t>8</w:t>
      </w:r>
      <w:r w:rsidR="00172343">
        <w:rPr>
          <w:noProof/>
        </w:rPr>
        <w:fldChar w:fldCharType="end"/>
      </w:r>
      <w:r>
        <w:t xml:space="preserve"> Osoby </w:t>
      </w:r>
      <w:r w:rsidRPr="0005759E">
        <w:t>korzystające ze środowiskowej pomocy społecznej wg kryterium dochodowego</w:t>
      </w:r>
      <w:bookmarkEnd w:id="27"/>
    </w:p>
    <w:p w:rsidR="0005759E" w:rsidRDefault="0005759E" w:rsidP="00E4590B">
      <w:pPr>
        <w:pStyle w:val="Bezodstpw"/>
      </w:pPr>
      <w:r>
        <w:rPr>
          <w:noProof/>
          <w:lang w:eastAsia="pl-PL"/>
        </w:rPr>
        <w:drawing>
          <wp:inline distT="0" distB="0" distL="0" distR="0" wp14:anchorId="2F552D06" wp14:editId="71AD0E73">
            <wp:extent cx="5495925" cy="2066925"/>
            <wp:effectExtent l="0" t="0" r="9525" b="9525"/>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5759E" w:rsidRDefault="0005759E" w:rsidP="0005759E">
      <w:pPr>
        <w:pStyle w:val="Legenda"/>
      </w:pPr>
      <w:r>
        <w:t>Źródło: Opracowanie własne na podstawie danych na podstawie danych GUS – przekroje terytorialne BDL</w:t>
      </w:r>
    </w:p>
    <w:p w:rsidR="007008B8" w:rsidRDefault="007008B8" w:rsidP="00E4590B">
      <w:pPr>
        <w:pStyle w:val="Bezodstpw"/>
      </w:pPr>
    </w:p>
    <w:p w:rsidR="007008B8" w:rsidRDefault="00F23FA4" w:rsidP="00F23FA4">
      <w:pPr>
        <w:pStyle w:val="Bezodstpw"/>
        <w:ind w:firstLine="708"/>
        <w:jc w:val="both"/>
      </w:pPr>
      <w:r w:rsidRPr="00F23FA4">
        <w:t>W 2014 r. świadczenia przyznano 603 osobom, przy czym 404 otrzymały świadczenia niepieniężne, a 203 – pieniężne. W ramach zadań własnych przyznano 601 świadczeń, dwa świadczenia zostały przyznane w ramach zadań zleconych.</w:t>
      </w:r>
    </w:p>
    <w:p w:rsidR="00F23FA4" w:rsidRDefault="00F23FA4" w:rsidP="00F23FA4">
      <w:pPr>
        <w:pStyle w:val="Bezodstpw"/>
        <w:jc w:val="both"/>
      </w:pPr>
    </w:p>
    <w:p w:rsidR="007008B8" w:rsidRDefault="00F23FA4" w:rsidP="00F23FA4">
      <w:pPr>
        <w:pStyle w:val="Legenda"/>
      </w:pPr>
      <w:bookmarkStart w:id="28" w:name="_Toc495887791"/>
      <w:r>
        <w:t xml:space="preserve">Tabela </w:t>
      </w:r>
      <w:r w:rsidR="00172343">
        <w:fldChar w:fldCharType="begin"/>
      </w:r>
      <w:r w:rsidR="00172343">
        <w:instrText xml:space="preserve"> SEQ Tabela \* ARABIC </w:instrText>
      </w:r>
      <w:r w:rsidR="00172343">
        <w:fldChar w:fldCharType="separate"/>
      </w:r>
      <w:r w:rsidR="00D67FEC">
        <w:rPr>
          <w:noProof/>
        </w:rPr>
        <w:t>2</w:t>
      </w:r>
      <w:r w:rsidR="00172343">
        <w:rPr>
          <w:noProof/>
        </w:rPr>
        <w:fldChar w:fldCharType="end"/>
      </w:r>
      <w:r>
        <w:t xml:space="preserve"> </w:t>
      </w:r>
      <w:r w:rsidR="0089056C" w:rsidRPr="0089056C">
        <w:t>Rzeczywista liczba rodzin i osób objętych pomocą społeczną w 2014 r</w:t>
      </w:r>
      <w:bookmarkEnd w:id="28"/>
    </w:p>
    <w:tbl>
      <w:tblPr>
        <w:tblStyle w:val="Tabelasiatki5ciemnaakcent32"/>
        <w:tblW w:w="5000" w:type="pct"/>
        <w:tblLook w:val="0420" w:firstRow="1" w:lastRow="0" w:firstColumn="0" w:lastColumn="0" w:noHBand="0" w:noVBand="1"/>
      </w:tblPr>
      <w:tblGrid>
        <w:gridCol w:w="5070"/>
        <w:gridCol w:w="1560"/>
        <w:gridCol w:w="1276"/>
        <w:gridCol w:w="1382"/>
      </w:tblGrid>
      <w:tr w:rsidR="0089056C" w:rsidRPr="001957AA" w:rsidTr="001957AA">
        <w:trPr>
          <w:cnfStyle w:val="100000000000" w:firstRow="1" w:lastRow="0" w:firstColumn="0" w:lastColumn="0" w:oddVBand="0" w:evenVBand="0" w:oddHBand="0" w:evenHBand="0" w:firstRowFirstColumn="0" w:firstRowLastColumn="0" w:lastRowFirstColumn="0" w:lastRowLastColumn="0"/>
          <w:trHeight w:val="920"/>
        </w:trPr>
        <w:tc>
          <w:tcPr>
            <w:tcW w:w="2729" w:type="pct"/>
            <w:hideMark/>
          </w:tcPr>
          <w:p w:rsidR="0089056C" w:rsidRPr="001957AA" w:rsidRDefault="0089056C" w:rsidP="00C536C6">
            <w:pPr>
              <w:spacing w:line="276" w:lineRule="auto"/>
              <w:jc w:val="center"/>
              <w:rPr>
                <w:rFonts w:asciiTheme="minorHAnsi" w:hAnsiTheme="minorHAnsi" w:cstheme="minorHAnsi"/>
                <w:b w:val="0"/>
                <w:bCs w:val="0"/>
                <w:sz w:val="22"/>
              </w:rPr>
            </w:pPr>
            <w:r w:rsidRPr="001957AA">
              <w:rPr>
                <w:rFonts w:asciiTheme="minorHAnsi" w:hAnsiTheme="minorHAnsi" w:cstheme="minorHAnsi"/>
                <w:sz w:val="22"/>
              </w:rPr>
              <w:t>Wyszczególnienie</w:t>
            </w:r>
          </w:p>
        </w:tc>
        <w:tc>
          <w:tcPr>
            <w:tcW w:w="840" w:type="pct"/>
            <w:hideMark/>
          </w:tcPr>
          <w:p w:rsidR="0089056C" w:rsidRPr="001957AA" w:rsidRDefault="0089056C" w:rsidP="00C536C6">
            <w:pPr>
              <w:spacing w:line="276" w:lineRule="auto"/>
              <w:jc w:val="center"/>
              <w:rPr>
                <w:rFonts w:asciiTheme="minorHAnsi" w:hAnsiTheme="minorHAnsi" w:cstheme="minorHAnsi"/>
                <w:sz w:val="22"/>
              </w:rPr>
            </w:pPr>
            <w:r w:rsidRPr="001957AA">
              <w:rPr>
                <w:rFonts w:asciiTheme="minorHAnsi" w:hAnsiTheme="minorHAnsi" w:cstheme="minorHAnsi"/>
              </w:rPr>
              <w:t>Liczba osób, którym przyznano decyzją świadczenia</w:t>
            </w:r>
          </w:p>
        </w:tc>
        <w:tc>
          <w:tcPr>
            <w:tcW w:w="687" w:type="pct"/>
            <w:hideMark/>
          </w:tcPr>
          <w:p w:rsidR="0089056C" w:rsidRPr="001957AA" w:rsidRDefault="0089056C" w:rsidP="00C536C6">
            <w:pPr>
              <w:spacing w:line="276" w:lineRule="auto"/>
              <w:jc w:val="center"/>
              <w:rPr>
                <w:rFonts w:asciiTheme="minorHAnsi" w:hAnsiTheme="minorHAnsi" w:cstheme="minorHAnsi"/>
                <w:b w:val="0"/>
                <w:bCs w:val="0"/>
                <w:sz w:val="22"/>
              </w:rPr>
            </w:pPr>
            <w:r w:rsidRPr="001957AA">
              <w:rPr>
                <w:rFonts w:asciiTheme="minorHAnsi" w:hAnsiTheme="minorHAnsi" w:cstheme="minorHAnsi"/>
                <w:sz w:val="22"/>
              </w:rPr>
              <w:t>Liczba rodzin</w:t>
            </w:r>
          </w:p>
        </w:tc>
        <w:tc>
          <w:tcPr>
            <w:tcW w:w="744" w:type="pct"/>
            <w:hideMark/>
          </w:tcPr>
          <w:p w:rsidR="0089056C" w:rsidRPr="001957AA" w:rsidRDefault="0089056C" w:rsidP="00C536C6">
            <w:pPr>
              <w:spacing w:line="276" w:lineRule="auto"/>
              <w:jc w:val="center"/>
              <w:rPr>
                <w:rFonts w:asciiTheme="minorHAnsi" w:hAnsiTheme="minorHAnsi" w:cstheme="minorHAnsi"/>
                <w:sz w:val="22"/>
              </w:rPr>
            </w:pPr>
            <w:r w:rsidRPr="001957AA">
              <w:rPr>
                <w:rFonts w:asciiTheme="minorHAnsi" w:hAnsiTheme="minorHAnsi" w:cstheme="minorHAnsi"/>
                <w:sz w:val="22"/>
              </w:rPr>
              <w:t xml:space="preserve">Liczba osób </w:t>
            </w:r>
            <w:r w:rsidRPr="001957AA">
              <w:rPr>
                <w:rFonts w:asciiTheme="minorHAnsi" w:hAnsiTheme="minorHAnsi" w:cstheme="minorHAnsi"/>
                <w:sz w:val="22"/>
              </w:rPr>
              <w:br/>
              <w:t>w rodzinach</w:t>
            </w:r>
          </w:p>
        </w:tc>
      </w:tr>
      <w:tr w:rsidR="0089056C" w:rsidRPr="001957AA" w:rsidTr="001957AA">
        <w:trPr>
          <w:cnfStyle w:val="000000100000" w:firstRow="0" w:lastRow="0" w:firstColumn="0" w:lastColumn="0" w:oddVBand="0" w:evenVBand="0" w:oddHBand="1" w:evenHBand="0" w:firstRowFirstColumn="0" w:firstRowLastColumn="0" w:lastRowFirstColumn="0" w:lastRowLastColumn="0"/>
        </w:trPr>
        <w:tc>
          <w:tcPr>
            <w:tcW w:w="2729" w:type="pct"/>
            <w:hideMark/>
          </w:tcPr>
          <w:p w:rsidR="0089056C" w:rsidRPr="001957AA" w:rsidRDefault="0089056C" w:rsidP="00C536C6">
            <w:pPr>
              <w:spacing w:line="276" w:lineRule="auto"/>
              <w:rPr>
                <w:rFonts w:asciiTheme="minorHAnsi" w:hAnsiTheme="minorHAnsi" w:cstheme="minorHAnsi"/>
                <w:sz w:val="22"/>
              </w:rPr>
            </w:pPr>
            <w:r w:rsidRPr="001957AA">
              <w:rPr>
                <w:rFonts w:asciiTheme="minorHAnsi" w:hAnsiTheme="minorHAnsi" w:cstheme="minorHAnsi"/>
                <w:sz w:val="22"/>
              </w:rPr>
              <w:t xml:space="preserve">Świadczenia przyznane w ramach zadań zleconych </w:t>
            </w:r>
            <w:r w:rsidRPr="001957AA">
              <w:rPr>
                <w:rFonts w:asciiTheme="minorHAnsi" w:hAnsiTheme="minorHAnsi" w:cstheme="minorHAnsi"/>
                <w:sz w:val="22"/>
              </w:rPr>
              <w:br/>
              <w:t>i zadań własnych ogółem, w tym:</w:t>
            </w:r>
          </w:p>
        </w:tc>
        <w:tc>
          <w:tcPr>
            <w:tcW w:w="840" w:type="pct"/>
            <w:hideMark/>
          </w:tcPr>
          <w:p w:rsidR="0089056C" w:rsidRPr="001957AA" w:rsidRDefault="0089056C" w:rsidP="00C536C6">
            <w:pPr>
              <w:spacing w:line="276" w:lineRule="auto"/>
              <w:jc w:val="center"/>
              <w:rPr>
                <w:rFonts w:asciiTheme="minorHAnsi" w:hAnsiTheme="minorHAnsi" w:cstheme="minorHAnsi"/>
                <w:sz w:val="22"/>
              </w:rPr>
            </w:pPr>
            <w:r w:rsidRPr="001957AA">
              <w:rPr>
                <w:rFonts w:asciiTheme="minorHAnsi" w:hAnsiTheme="minorHAnsi" w:cstheme="minorHAnsi"/>
                <w:sz w:val="22"/>
              </w:rPr>
              <w:t>603</w:t>
            </w:r>
          </w:p>
        </w:tc>
        <w:tc>
          <w:tcPr>
            <w:tcW w:w="687" w:type="pct"/>
            <w:hideMark/>
          </w:tcPr>
          <w:p w:rsidR="0089056C" w:rsidRPr="001957AA" w:rsidRDefault="0089056C" w:rsidP="00C536C6">
            <w:pPr>
              <w:spacing w:line="276" w:lineRule="auto"/>
              <w:jc w:val="center"/>
              <w:rPr>
                <w:rFonts w:asciiTheme="minorHAnsi" w:hAnsiTheme="minorHAnsi" w:cstheme="minorHAnsi"/>
                <w:sz w:val="22"/>
              </w:rPr>
            </w:pPr>
            <w:r w:rsidRPr="001957AA">
              <w:rPr>
                <w:rFonts w:asciiTheme="minorHAnsi" w:hAnsiTheme="minorHAnsi" w:cstheme="minorHAnsi"/>
                <w:sz w:val="22"/>
              </w:rPr>
              <w:t>315</w:t>
            </w:r>
          </w:p>
        </w:tc>
        <w:tc>
          <w:tcPr>
            <w:tcW w:w="744" w:type="pct"/>
            <w:hideMark/>
          </w:tcPr>
          <w:p w:rsidR="0089056C" w:rsidRPr="001957AA" w:rsidRDefault="0089056C" w:rsidP="00C536C6">
            <w:pPr>
              <w:spacing w:line="276" w:lineRule="auto"/>
              <w:jc w:val="center"/>
              <w:rPr>
                <w:rFonts w:asciiTheme="minorHAnsi" w:hAnsiTheme="minorHAnsi" w:cstheme="minorHAnsi"/>
                <w:sz w:val="22"/>
              </w:rPr>
            </w:pPr>
            <w:r w:rsidRPr="001957AA">
              <w:rPr>
                <w:rFonts w:asciiTheme="minorHAnsi" w:hAnsiTheme="minorHAnsi" w:cstheme="minorHAnsi"/>
                <w:sz w:val="22"/>
              </w:rPr>
              <w:t>1 227</w:t>
            </w:r>
          </w:p>
        </w:tc>
      </w:tr>
      <w:tr w:rsidR="0089056C" w:rsidRPr="001957AA" w:rsidTr="001957AA">
        <w:tc>
          <w:tcPr>
            <w:tcW w:w="2729" w:type="pct"/>
            <w:hideMark/>
          </w:tcPr>
          <w:p w:rsidR="0089056C" w:rsidRPr="001957AA" w:rsidRDefault="0089056C" w:rsidP="00C536C6">
            <w:pPr>
              <w:spacing w:line="276" w:lineRule="auto"/>
              <w:ind w:left="284"/>
              <w:rPr>
                <w:rFonts w:asciiTheme="minorHAnsi" w:hAnsiTheme="minorHAnsi" w:cstheme="minorHAnsi"/>
                <w:i/>
                <w:sz w:val="22"/>
              </w:rPr>
            </w:pPr>
            <w:r w:rsidRPr="001957AA">
              <w:rPr>
                <w:rFonts w:asciiTheme="minorHAnsi" w:hAnsiTheme="minorHAnsi" w:cstheme="minorHAnsi"/>
                <w:i/>
                <w:sz w:val="22"/>
              </w:rPr>
              <w:t>świadczenia pieniężne</w:t>
            </w:r>
          </w:p>
        </w:tc>
        <w:tc>
          <w:tcPr>
            <w:tcW w:w="840" w:type="pct"/>
            <w:hideMark/>
          </w:tcPr>
          <w:p w:rsidR="0089056C" w:rsidRPr="001957AA" w:rsidRDefault="0089056C" w:rsidP="00C536C6">
            <w:pPr>
              <w:spacing w:line="276" w:lineRule="auto"/>
              <w:ind w:firstLine="33"/>
              <w:jc w:val="center"/>
              <w:rPr>
                <w:rFonts w:asciiTheme="minorHAnsi" w:hAnsiTheme="minorHAnsi" w:cstheme="minorHAnsi"/>
                <w:i/>
                <w:sz w:val="22"/>
              </w:rPr>
            </w:pPr>
            <w:r w:rsidRPr="001957AA">
              <w:rPr>
                <w:rFonts w:asciiTheme="minorHAnsi" w:hAnsiTheme="minorHAnsi" w:cstheme="minorHAnsi"/>
                <w:i/>
                <w:sz w:val="22"/>
              </w:rPr>
              <w:t>203</w:t>
            </w:r>
          </w:p>
        </w:tc>
        <w:tc>
          <w:tcPr>
            <w:tcW w:w="687" w:type="pct"/>
            <w:hideMark/>
          </w:tcPr>
          <w:p w:rsidR="0089056C" w:rsidRPr="001957AA" w:rsidRDefault="0089056C" w:rsidP="00C536C6">
            <w:pPr>
              <w:spacing w:line="276" w:lineRule="auto"/>
              <w:ind w:left="33" w:hanging="33"/>
              <w:jc w:val="center"/>
              <w:rPr>
                <w:rFonts w:asciiTheme="minorHAnsi" w:hAnsiTheme="minorHAnsi" w:cstheme="minorHAnsi"/>
                <w:i/>
                <w:sz w:val="22"/>
              </w:rPr>
            </w:pPr>
            <w:r w:rsidRPr="001957AA">
              <w:rPr>
                <w:rFonts w:asciiTheme="minorHAnsi" w:hAnsiTheme="minorHAnsi" w:cstheme="minorHAnsi"/>
                <w:i/>
                <w:sz w:val="22"/>
              </w:rPr>
              <w:t>193</w:t>
            </w:r>
          </w:p>
        </w:tc>
        <w:tc>
          <w:tcPr>
            <w:tcW w:w="744" w:type="pct"/>
            <w:hideMark/>
          </w:tcPr>
          <w:p w:rsidR="0089056C" w:rsidRPr="001957AA" w:rsidRDefault="0089056C" w:rsidP="00C536C6">
            <w:pPr>
              <w:spacing w:line="276" w:lineRule="auto"/>
              <w:jc w:val="center"/>
              <w:rPr>
                <w:rFonts w:asciiTheme="minorHAnsi" w:hAnsiTheme="minorHAnsi" w:cstheme="minorHAnsi"/>
                <w:i/>
                <w:sz w:val="22"/>
              </w:rPr>
            </w:pPr>
            <w:r w:rsidRPr="001957AA">
              <w:rPr>
                <w:rFonts w:asciiTheme="minorHAnsi" w:hAnsiTheme="minorHAnsi" w:cstheme="minorHAnsi"/>
                <w:i/>
                <w:sz w:val="22"/>
              </w:rPr>
              <w:t>671</w:t>
            </w:r>
          </w:p>
        </w:tc>
      </w:tr>
      <w:tr w:rsidR="0089056C" w:rsidRPr="001957AA" w:rsidTr="001957AA">
        <w:trPr>
          <w:cnfStyle w:val="000000100000" w:firstRow="0" w:lastRow="0" w:firstColumn="0" w:lastColumn="0" w:oddVBand="0" w:evenVBand="0" w:oddHBand="1" w:evenHBand="0" w:firstRowFirstColumn="0" w:firstRowLastColumn="0" w:lastRowFirstColumn="0" w:lastRowLastColumn="0"/>
        </w:trPr>
        <w:tc>
          <w:tcPr>
            <w:tcW w:w="2729" w:type="pct"/>
            <w:hideMark/>
          </w:tcPr>
          <w:p w:rsidR="0089056C" w:rsidRPr="001957AA" w:rsidRDefault="0089056C" w:rsidP="00C536C6">
            <w:pPr>
              <w:spacing w:line="276" w:lineRule="auto"/>
              <w:ind w:left="284"/>
              <w:rPr>
                <w:rFonts w:asciiTheme="minorHAnsi" w:hAnsiTheme="minorHAnsi" w:cstheme="minorHAnsi"/>
                <w:i/>
                <w:sz w:val="22"/>
              </w:rPr>
            </w:pPr>
            <w:r w:rsidRPr="001957AA">
              <w:rPr>
                <w:rFonts w:asciiTheme="minorHAnsi" w:hAnsiTheme="minorHAnsi" w:cstheme="minorHAnsi"/>
                <w:i/>
                <w:sz w:val="22"/>
              </w:rPr>
              <w:t>świadczenia niepieniężne</w:t>
            </w:r>
          </w:p>
        </w:tc>
        <w:tc>
          <w:tcPr>
            <w:tcW w:w="840" w:type="pct"/>
            <w:hideMark/>
          </w:tcPr>
          <w:p w:rsidR="0089056C" w:rsidRPr="001957AA" w:rsidRDefault="0089056C" w:rsidP="00C536C6">
            <w:pPr>
              <w:spacing w:line="276" w:lineRule="auto"/>
              <w:ind w:firstLine="33"/>
              <w:jc w:val="center"/>
              <w:rPr>
                <w:rFonts w:asciiTheme="minorHAnsi" w:hAnsiTheme="minorHAnsi" w:cstheme="minorHAnsi"/>
                <w:i/>
                <w:sz w:val="22"/>
              </w:rPr>
            </w:pPr>
            <w:r w:rsidRPr="001957AA">
              <w:rPr>
                <w:rFonts w:asciiTheme="minorHAnsi" w:hAnsiTheme="minorHAnsi" w:cstheme="minorHAnsi"/>
                <w:i/>
                <w:sz w:val="22"/>
              </w:rPr>
              <w:t>404</w:t>
            </w:r>
          </w:p>
        </w:tc>
        <w:tc>
          <w:tcPr>
            <w:tcW w:w="687" w:type="pct"/>
            <w:hideMark/>
          </w:tcPr>
          <w:p w:rsidR="0089056C" w:rsidRPr="001957AA" w:rsidRDefault="0089056C" w:rsidP="00C536C6">
            <w:pPr>
              <w:spacing w:line="276" w:lineRule="auto"/>
              <w:ind w:left="33" w:hanging="33"/>
              <w:jc w:val="center"/>
              <w:rPr>
                <w:rFonts w:asciiTheme="minorHAnsi" w:hAnsiTheme="minorHAnsi" w:cstheme="minorHAnsi"/>
                <w:i/>
                <w:sz w:val="22"/>
              </w:rPr>
            </w:pPr>
            <w:r w:rsidRPr="001957AA">
              <w:rPr>
                <w:rFonts w:asciiTheme="minorHAnsi" w:hAnsiTheme="minorHAnsi" w:cstheme="minorHAnsi"/>
                <w:i/>
                <w:sz w:val="22"/>
              </w:rPr>
              <w:t>195</w:t>
            </w:r>
          </w:p>
        </w:tc>
        <w:tc>
          <w:tcPr>
            <w:tcW w:w="744" w:type="pct"/>
            <w:hideMark/>
          </w:tcPr>
          <w:p w:rsidR="0089056C" w:rsidRPr="001957AA" w:rsidRDefault="0089056C" w:rsidP="00C536C6">
            <w:pPr>
              <w:spacing w:line="276" w:lineRule="auto"/>
              <w:jc w:val="center"/>
              <w:rPr>
                <w:rFonts w:asciiTheme="minorHAnsi" w:hAnsiTheme="minorHAnsi" w:cstheme="minorHAnsi"/>
                <w:i/>
                <w:sz w:val="22"/>
              </w:rPr>
            </w:pPr>
            <w:r w:rsidRPr="001957AA">
              <w:rPr>
                <w:rFonts w:asciiTheme="minorHAnsi" w:hAnsiTheme="minorHAnsi" w:cstheme="minorHAnsi"/>
                <w:i/>
                <w:sz w:val="22"/>
              </w:rPr>
              <w:t>939</w:t>
            </w:r>
          </w:p>
        </w:tc>
      </w:tr>
      <w:tr w:rsidR="0089056C" w:rsidRPr="001957AA" w:rsidTr="001957AA">
        <w:tc>
          <w:tcPr>
            <w:tcW w:w="2729" w:type="pct"/>
            <w:hideMark/>
          </w:tcPr>
          <w:p w:rsidR="0089056C" w:rsidRPr="001957AA" w:rsidRDefault="0089056C" w:rsidP="00C536C6">
            <w:pPr>
              <w:spacing w:line="276" w:lineRule="auto"/>
              <w:rPr>
                <w:rFonts w:asciiTheme="minorHAnsi" w:hAnsiTheme="minorHAnsi" w:cstheme="minorHAnsi"/>
                <w:sz w:val="22"/>
              </w:rPr>
            </w:pPr>
            <w:r w:rsidRPr="001957AA">
              <w:rPr>
                <w:rFonts w:asciiTheme="minorHAnsi" w:hAnsiTheme="minorHAnsi" w:cstheme="minorHAnsi"/>
                <w:sz w:val="22"/>
              </w:rPr>
              <w:t xml:space="preserve">Świadczenia przyznane w ramach zadań zleconych </w:t>
            </w:r>
          </w:p>
        </w:tc>
        <w:tc>
          <w:tcPr>
            <w:tcW w:w="840" w:type="pct"/>
            <w:hideMark/>
          </w:tcPr>
          <w:p w:rsidR="0089056C" w:rsidRPr="001957AA" w:rsidRDefault="0089056C" w:rsidP="00C536C6">
            <w:pPr>
              <w:spacing w:line="276" w:lineRule="auto"/>
              <w:ind w:firstLine="33"/>
              <w:jc w:val="center"/>
              <w:rPr>
                <w:rFonts w:asciiTheme="minorHAnsi" w:hAnsiTheme="minorHAnsi" w:cstheme="minorHAnsi"/>
                <w:sz w:val="22"/>
              </w:rPr>
            </w:pPr>
            <w:r w:rsidRPr="001957AA">
              <w:rPr>
                <w:rFonts w:asciiTheme="minorHAnsi" w:hAnsiTheme="minorHAnsi" w:cstheme="minorHAnsi"/>
                <w:sz w:val="22"/>
              </w:rPr>
              <w:t>2</w:t>
            </w:r>
          </w:p>
        </w:tc>
        <w:tc>
          <w:tcPr>
            <w:tcW w:w="687" w:type="pct"/>
            <w:hideMark/>
          </w:tcPr>
          <w:p w:rsidR="0089056C" w:rsidRPr="001957AA" w:rsidRDefault="0089056C" w:rsidP="00C536C6">
            <w:pPr>
              <w:spacing w:line="276" w:lineRule="auto"/>
              <w:ind w:left="33" w:hanging="33"/>
              <w:jc w:val="center"/>
              <w:rPr>
                <w:rFonts w:asciiTheme="minorHAnsi" w:hAnsiTheme="minorHAnsi" w:cstheme="minorHAnsi"/>
                <w:sz w:val="22"/>
              </w:rPr>
            </w:pPr>
            <w:r w:rsidRPr="001957AA">
              <w:rPr>
                <w:rFonts w:asciiTheme="minorHAnsi" w:hAnsiTheme="minorHAnsi" w:cstheme="minorHAnsi"/>
                <w:sz w:val="22"/>
              </w:rPr>
              <w:t>2</w:t>
            </w:r>
          </w:p>
        </w:tc>
        <w:tc>
          <w:tcPr>
            <w:tcW w:w="744" w:type="pct"/>
            <w:hideMark/>
          </w:tcPr>
          <w:p w:rsidR="0089056C" w:rsidRPr="001957AA" w:rsidRDefault="0089056C" w:rsidP="00C536C6">
            <w:pPr>
              <w:spacing w:line="276" w:lineRule="auto"/>
              <w:jc w:val="center"/>
              <w:rPr>
                <w:rFonts w:asciiTheme="minorHAnsi" w:hAnsiTheme="minorHAnsi" w:cstheme="minorHAnsi"/>
                <w:sz w:val="22"/>
              </w:rPr>
            </w:pPr>
            <w:r w:rsidRPr="001957AA">
              <w:rPr>
                <w:rFonts w:asciiTheme="minorHAnsi" w:hAnsiTheme="minorHAnsi" w:cstheme="minorHAnsi"/>
                <w:sz w:val="22"/>
              </w:rPr>
              <w:t>7</w:t>
            </w:r>
          </w:p>
        </w:tc>
      </w:tr>
      <w:tr w:rsidR="0089056C" w:rsidRPr="001957AA" w:rsidTr="001957AA">
        <w:trPr>
          <w:cnfStyle w:val="000000100000" w:firstRow="0" w:lastRow="0" w:firstColumn="0" w:lastColumn="0" w:oddVBand="0" w:evenVBand="0" w:oddHBand="1" w:evenHBand="0" w:firstRowFirstColumn="0" w:firstRowLastColumn="0" w:lastRowFirstColumn="0" w:lastRowLastColumn="0"/>
        </w:trPr>
        <w:tc>
          <w:tcPr>
            <w:tcW w:w="2729" w:type="pct"/>
            <w:hideMark/>
          </w:tcPr>
          <w:p w:rsidR="0089056C" w:rsidRPr="001957AA" w:rsidRDefault="0089056C" w:rsidP="00C536C6">
            <w:pPr>
              <w:spacing w:line="276" w:lineRule="auto"/>
              <w:rPr>
                <w:rFonts w:asciiTheme="minorHAnsi" w:hAnsiTheme="minorHAnsi" w:cstheme="minorHAnsi"/>
                <w:sz w:val="22"/>
              </w:rPr>
            </w:pPr>
            <w:r w:rsidRPr="001957AA">
              <w:rPr>
                <w:rFonts w:asciiTheme="minorHAnsi" w:hAnsiTheme="minorHAnsi" w:cstheme="minorHAnsi"/>
                <w:sz w:val="22"/>
              </w:rPr>
              <w:t xml:space="preserve">Świadczenia przyznane w ramach zadań własnych </w:t>
            </w:r>
          </w:p>
        </w:tc>
        <w:tc>
          <w:tcPr>
            <w:tcW w:w="840" w:type="pct"/>
            <w:hideMark/>
          </w:tcPr>
          <w:p w:rsidR="0089056C" w:rsidRPr="001957AA" w:rsidRDefault="0089056C" w:rsidP="00C536C6">
            <w:pPr>
              <w:spacing w:line="276" w:lineRule="auto"/>
              <w:ind w:firstLine="33"/>
              <w:jc w:val="center"/>
              <w:rPr>
                <w:rFonts w:asciiTheme="minorHAnsi" w:hAnsiTheme="minorHAnsi" w:cstheme="minorHAnsi"/>
                <w:sz w:val="22"/>
              </w:rPr>
            </w:pPr>
            <w:r w:rsidRPr="001957AA">
              <w:rPr>
                <w:rFonts w:asciiTheme="minorHAnsi" w:hAnsiTheme="minorHAnsi" w:cstheme="minorHAnsi"/>
                <w:sz w:val="22"/>
              </w:rPr>
              <w:t>601</w:t>
            </w:r>
          </w:p>
        </w:tc>
        <w:tc>
          <w:tcPr>
            <w:tcW w:w="687" w:type="pct"/>
            <w:hideMark/>
          </w:tcPr>
          <w:p w:rsidR="0089056C" w:rsidRPr="001957AA" w:rsidRDefault="0089056C" w:rsidP="00C536C6">
            <w:pPr>
              <w:spacing w:line="276" w:lineRule="auto"/>
              <w:ind w:left="33" w:hanging="33"/>
              <w:jc w:val="center"/>
              <w:rPr>
                <w:rFonts w:asciiTheme="minorHAnsi" w:hAnsiTheme="minorHAnsi" w:cstheme="minorHAnsi"/>
                <w:sz w:val="22"/>
              </w:rPr>
            </w:pPr>
            <w:r w:rsidRPr="001957AA">
              <w:rPr>
                <w:rFonts w:asciiTheme="minorHAnsi" w:hAnsiTheme="minorHAnsi" w:cstheme="minorHAnsi"/>
                <w:sz w:val="22"/>
              </w:rPr>
              <w:t>314</w:t>
            </w:r>
          </w:p>
        </w:tc>
        <w:tc>
          <w:tcPr>
            <w:tcW w:w="744" w:type="pct"/>
            <w:hideMark/>
          </w:tcPr>
          <w:p w:rsidR="0089056C" w:rsidRPr="001957AA" w:rsidRDefault="0089056C" w:rsidP="00C536C6">
            <w:pPr>
              <w:spacing w:line="276" w:lineRule="auto"/>
              <w:jc w:val="center"/>
              <w:rPr>
                <w:rFonts w:asciiTheme="minorHAnsi" w:hAnsiTheme="minorHAnsi" w:cstheme="minorHAnsi"/>
                <w:sz w:val="22"/>
              </w:rPr>
            </w:pPr>
            <w:r w:rsidRPr="001957AA">
              <w:rPr>
                <w:rFonts w:asciiTheme="minorHAnsi" w:hAnsiTheme="minorHAnsi" w:cstheme="minorHAnsi"/>
                <w:sz w:val="22"/>
              </w:rPr>
              <w:t>1 224</w:t>
            </w:r>
          </w:p>
        </w:tc>
      </w:tr>
      <w:tr w:rsidR="0089056C" w:rsidRPr="001957AA" w:rsidTr="001957AA">
        <w:tc>
          <w:tcPr>
            <w:tcW w:w="2729" w:type="pct"/>
            <w:hideMark/>
          </w:tcPr>
          <w:p w:rsidR="0089056C" w:rsidRPr="001957AA" w:rsidRDefault="0089056C" w:rsidP="00C536C6">
            <w:pPr>
              <w:spacing w:line="276" w:lineRule="auto"/>
              <w:rPr>
                <w:rFonts w:asciiTheme="minorHAnsi" w:hAnsiTheme="minorHAnsi" w:cstheme="minorHAnsi"/>
                <w:sz w:val="22"/>
              </w:rPr>
            </w:pPr>
            <w:r w:rsidRPr="001957AA">
              <w:rPr>
                <w:rFonts w:asciiTheme="minorHAnsi" w:hAnsiTheme="minorHAnsi" w:cstheme="minorHAnsi"/>
                <w:sz w:val="22"/>
              </w:rPr>
              <w:t xml:space="preserve">Pomoc udzielana w postaci pracy socjalnej ogółem, </w:t>
            </w:r>
            <w:r w:rsidRPr="001957AA">
              <w:rPr>
                <w:rFonts w:asciiTheme="minorHAnsi" w:hAnsiTheme="minorHAnsi" w:cstheme="minorHAnsi"/>
                <w:sz w:val="22"/>
              </w:rPr>
              <w:br/>
              <w:t>w tym:</w:t>
            </w:r>
          </w:p>
        </w:tc>
        <w:tc>
          <w:tcPr>
            <w:tcW w:w="840" w:type="pct"/>
            <w:hideMark/>
          </w:tcPr>
          <w:p w:rsidR="0089056C" w:rsidRPr="001957AA" w:rsidRDefault="0089056C" w:rsidP="00C536C6">
            <w:pPr>
              <w:spacing w:line="276" w:lineRule="auto"/>
              <w:ind w:firstLine="33"/>
              <w:jc w:val="center"/>
              <w:rPr>
                <w:rFonts w:asciiTheme="minorHAnsi" w:hAnsiTheme="minorHAnsi" w:cstheme="minorHAnsi"/>
                <w:sz w:val="22"/>
              </w:rPr>
            </w:pPr>
            <w:r w:rsidRPr="001957AA">
              <w:rPr>
                <w:rFonts w:asciiTheme="minorHAnsi" w:hAnsiTheme="minorHAnsi" w:cstheme="minorHAnsi"/>
                <w:sz w:val="22"/>
              </w:rPr>
              <w:t>X</w:t>
            </w:r>
          </w:p>
        </w:tc>
        <w:tc>
          <w:tcPr>
            <w:tcW w:w="687" w:type="pct"/>
            <w:hideMark/>
          </w:tcPr>
          <w:p w:rsidR="0089056C" w:rsidRPr="001957AA" w:rsidRDefault="0089056C" w:rsidP="00C536C6">
            <w:pPr>
              <w:spacing w:line="276" w:lineRule="auto"/>
              <w:ind w:left="33" w:hanging="33"/>
              <w:jc w:val="center"/>
              <w:rPr>
                <w:rFonts w:asciiTheme="minorHAnsi" w:hAnsiTheme="minorHAnsi" w:cstheme="minorHAnsi"/>
                <w:sz w:val="22"/>
              </w:rPr>
            </w:pPr>
            <w:r w:rsidRPr="001957AA">
              <w:rPr>
                <w:rFonts w:asciiTheme="minorHAnsi" w:hAnsiTheme="minorHAnsi" w:cstheme="minorHAnsi"/>
                <w:sz w:val="22"/>
              </w:rPr>
              <w:t>299</w:t>
            </w:r>
          </w:p>
        </w:tc>
        <w:tc>
          <w:tcPr>
            <w:tcW w:w="744" w:type="pct"/>
            <w:hideMark/>
          </w:tcPr>
          <w:p w:rsidR="0089056C" w:rsidRPr="001957AA" w:rsidRDefault="0089056C" w:rsidP="00C536C6">
            <w:pPr>
              <w:spacing w:line="276" w:lineRule="auto"/>
              <w:jc w:val="center"/>
              <w:rPr>
                <w:rFonts w:asciiTheme="minorHAnsi" w:hAnsiTheme="minorHAnsi" w:cstheme="minorHAnsi"/>
                <w:sz w:val="22"/>
              </w:rPr>
            </w:pPr>
            <w:r w:rsidRPr="001957AA">
              <w:rPr>
                <w:rFonts w:asciiTheme="minorHAnsi" w:hAnsiTheme="minorHAnsi" w:cstheme="minorHAnsi"/>
                <w:sz w:val="22"/>
              </w:rPr>
              <w:t>1 148</w:t>
            </w:r>
          </w:p>
        </w:tc>
      </w:tr>
      <w:tr w:rsidR="0089056C" w:rsidRPr="001957AA" w:rsidTr="001957AA">
        <w:trPr>
          <w:cnfStyle w:val="000000100000" w:firstRow="0" w:lastRow="0" w:firstColumn="0" w:lastColumn="0" w:oddVBand="0" w:evenVBand="0" w:oddHBand="1" w:evenHBand="0" w:firstRowFirstColumn="0" w:firstRowLastColumn="0" w:lastRowFirstColumn="0" w:lastRowLastColumn="0"/>
        </w:trPr>
        <w:tc>
          <w:tcPr>
            <w:tcW w:w="2729" w:type="pct"/>
            <w:hideMark/>
          </w:tcPr>
          <w:p w:rsidR="0089056C" w:rsidRPr="001957AA" w:rsidRDefault="0089056C" w:rsidP="00C536C6">
            <w:pPr>
              <w:spacing w:line="276" w:lineRule="auto"/>
              <w:ind w:left="284"/>
              <w:rPr>
                <w:rFonts w:asciiTheme="minorHAnsi" w:hAnsiTheme="minorHAnsi" w:cstheme="minorHAnsi"/>
                <w:i/>
                <w:sz w:val="22"/>
              </w:rPr>
            </w:pPr>
            <w:r w:rsidRPr="001957AA">
              <w:rPr>
                <w:rFonts w:asciiTheme="minorHAnsi" w:hAnsiTheme="minorHAnsi" w:cstheme="minorHAnsi"/>
                <w:i/>
                <w:sz w:val="22"/>
              </w:rPr>
              <w:t>wyłącznie w postaci pracy socjalnej</w:t>
            </w:r>
          </w:p>
        </w:tc>
        <w:tc>
          <w:tcPr>
            <w:tcW w:w="840" w:type="pct"/>
            <w:hideMark/>
          </w:tcPr>
          <w:p w:rsidR="0089056C" w:rsidRPr="001957AA" w:rsidRDefault="0089056C" w:rsidP="00C536C6">
            <w:pPr>
              <w:spacing w:line="276" w:lineRule="auto"/>
              <w:ind w:left="33" w:hanging="33"/>
              <w:jc w:val="center"/>
              <w:rPr>
                <w:rFonts w:asciiTheme="minorHAnsi" w:hAnsiTheme="minorHAnsi" w:cstheme="minorHAnsi"/>
                <w:i/>
                <w:sz w:val="22"/>
              </w:rPr>
            </w:pPr>
            <w:r w:rsidRPr="001957AA">
              <w:rPr>
                <w:rFonts w:asciiTheme="minorHAnsi" w:hAnsiTheme="minorHAnsi" w:cstheme="minorHAnsi"/>
                <w:i/>
                <w:sz w:val="22"/>
              </w:rPr>
              <w:t>X</w:t>
            </w:r>
          </w:p>
        </w:tc>
        <w:tc>
          <w:tcPr>
            <w:tcW w:w="687" w:type="pct"/>
            <w:hideMark/>
          </w:tcPr>
          <w:p w:rsidR="0089056C" w:rsidRPr="001957AA" w:rsidRDefault="0089056C" w:rsidP="00C536C6">
            <w:pPr>
              <w:spacing w:line="276" w:lineRule="auto"/>
              <w:ind w:left="33" w:hanging="33"/>
              <w:jc w:val="center"/>
              <w:rPr>
                <w:rFonts w:asciiTheme="minorHAnsi" w:hAnsiTheme="minorHAnsi" w:cstheme="minorHAnsi"/>
                <w:i/>
                <w:sz w:val="22"/>
              </w:rPr>
            </w:pPr>
            <w:r w:rsidRPr="001957AA">
              <w:rPr>
                <w:rFonts w:asciiTheme="minorHAnsi" w:hAnsiTheme="minorHAnsi" w:cstheme="minorHAnsi"/>
                <w:i/>
                <w:sz w:val="22"/>
              </w:rPr>
              <w:t>27</w:t>
            </w:r>
          </w:p>
        </w:tc>
        <w:tc>
          <w:tcPr>
            <w:tcW w:w="744" w:type="pct"/>
            <w:hideMark/>
          </w:tcPr>
          <w:p w:rsidR="0089056C" w:rsidRPr="001957AA" w:rsidRDefault="0089056C" w:rsidP="00C536C6">
            <w:pPr>
              <w:keepNext/>
              <w:spacing w:line="276" w:lineRule="auto"/>
              <w:jc w:val="center"/>
              <w:rPr>
                <w:rFonts w:asciiTheme="minorHAnsi" w:hAnsiTheme="minorHAnsi" w:cstheme="minorHAnsi"/>
                <w:i/>
                <w:sz w:val="22"/>
              </w:rPr>
            </w:pPr>
            <w:r w:rsidRPr="001957AA">
              <w:rPr>
                <w:rFonts w:asciiTheme="minorHAnsi" w:hAnsiTheme="minorHAnsi" w:cstheme="minorHAnsi"/>
                <w:i/>
                <w:sz w:val="22"/>
              </w:rPr>
              <w:t>107</w:t>
            </w:r>
          </w:p>
        </w:tc>
      </w:tr>
    </w:tbl>
    <w:p w:rsidR="0089056C" w:rsidRPr="00C13F93" w:rsidRDefault="0089056C" w:rsidP="0089056C">
      <w:pPr>
        <w:pStyle w:val="Legenda"/>
        <w:rPr>
          <w:rFonts w:ascii="Times New Roman" w:eastAsia="Times New Roman" w:hAnsi="Times New Roman" w:cs="Times New Roman"/>
          <w:vanish/>
          <w:color w:val="auto"/>
          <w:lang w:eastAsia="pl-PL"/>
        </w:rPr>
      </w:pPr>
      <w:r w:rsidRPr="00C13F93">
        <w:t>Źródło: Sprawozdanie półroczne i roczne z udzielonych świadczeń pomocy społecznej - pieniężnych, w naturze i usługach, Ministerstwo Pracy i Polityki Społecznej</w:t>
      </w:r>
    </w:p>
    <w:p w:rsidR="0089056C" w:rsidRPr="0089056C" w:rsidRDefault="0089056C" w:rsidP="0089056C"/>
    <w:p w:rsidR="007008B8" w:rsidRDefault="007008B8" w:rsidP="00E4590B">
      <w:pPr>
        <w:pStyle w:val="Bezodstpw"/>
      </w:pPr>
    </w:p>
    <w:p w:rsidR="007008B8" w:rsidRDefault="0089056C" w:rsidP="0089056C">
      <w:pPr>
        <w:pStyle w:val="Bezodstpw"/>
        <w:spacing w:line="276" w:lineRule="auto"/>
        <w:ind w:firstLine="708"/>
        <w:jc w:val="both"/>
      </w:pPr>
      <w:r>
        <w:t>Populacja rodzin korzystających z pomocy społecznej jest różnorodna także względu na liczebność gospodarstw domowych, wiek, typy rodzin jak i problemy, jakie je dotykają. Wśród wszystkich rodzin otrzymujących pomoc społeczną zdecydowanie dominują rodziny z dziećmi, wśród których najliczniejszą grupę stanowią rodziny z 2 dzieci (77 rodzin). Rodzin z 3 dzieci było w okresie referencyjnym 2014 roku  49 a z 4 i więcej 36. 25 rodzin to rodziny niepełne: 10 z 1 dzieckiem, 8 z 2 dzieci, 3 z 3 dzieci i 2 rodziny z 4 i więcej dzieci.</w:t>
      </w:r>
    </w:p>
    <w:p w:rsidR="0089056C" w:rsidRDefault="0089056C" w:rsidP="0089056C">
      <w:pPr>
        <w:pStyle w:val="Bezodstpw"/>
        <w:spacing w:line="276" w:lineRule="auto"/>
        <w:ind w:firstLine="708"/>
        <w:jc w:val="both"/>
      </w:pPr>
    </w:p>
    <w:p w:rsidR="0089056C" w:rsidRDefault="0089056C" w:rsidP="0089056C">
      <w:pPr>
        <w:pStyle w:val="Legenda"/>
      </w:pPr>
      <w:bookmarkStart w:id="29" w:name="_Toc495887823"/>
      <w:r>
        <w:t xml:space="preserve">Wykres </w:t>
      </w:r>
      <w:r w:rsidR="00172343">
        <w:fldChar w:fldCharType="begin"/>
      </w:r>
      <w:r w:rsidR="00172343">
        <w:instrText xml:space="preserve"> SEQ Wykres \* ARABIC </w:instrText>
      </w:r>
      <w:r w:rsidR="00172343">
        <w:fldChar w:fldCharType="separate"/>
      </w:r>
      <w:r w:rsidR="00A57C08">
        <w:rPr>
          <w:noProof/>
        </w:rPr>
        <w:t>9</w:t>
      </w:r>
      <w:r w:rsidR="00172343">
        <w:rPr>
          <w:noProof/>
        </w:rPr>
        <w:fldChar w:fldCharType="end"/>
      </w:r>
      <w:r>
        <w:t xml:space="preserve"> Korzystający ze świadczeń rodzinnych </w:t>
      </w:r>
      <w:r>
        <w:rPr>
          <w:noProof/>
          <w:lang w:eastAsia="pl-PL"/>
        </w:rPr>
        <w:drawing>
          <wp:inline distT="0" distB="0" distL="0" distR="0" wp14:anchorId="171058BA" wp14:editId="6928904A">
            <wp:extent cx="5760720" cy="2625580"/>
            <wp:effectExtent l="0" t="0" r="11430" b="2286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89056C">
        <w:t xml:space="preserve"> </w:t>
      </w:r>
      <w:r>
        <w:t>Źródło: Opracowanie własne na podstawie danych na podstawie danych GUS – przekroje terytorialne BDL</w:t>
      </w:r>
      <w:bookmarkEnd w:id="29"/>
    </w:p>
    <w:p w:rsidR="00055887" w:rsidRPr="00055887" w:rsidRDefault="00055887" w:rsidP="00055887">
      <w:pPr>
        <w:ind w:firstLine="708"/>
        <w:jc w:val="both"/>
      </w:pPr>
      <w:r>
        <w:lastRenderedPageBreak/>
        <w:t xml:space="preserve">Jak wynika z porównania danych z poziomem powiatowym i regionalnym, </w:t>
      </w:r>
      <w:r w:rsidRPr="00055887">
        <w:t>udział dzieci w wieku do lat 17, na które rodzice otrzymują zasiłek rodzinny w ogólnej liczbie dzieci w tym wieku</w:t>
      </w:r>
      <w:r>
        <w:t xml:space="preserve"> jest o 1,3 razy większa niż średnia dla województwa  i 1,15 razy większa niż średnia dla powiatu.</w:t>
      </w:r>
    </w:p>
    <w:p w:rsidR="00055887" w:rsidRPr="00055887" w:rsidRDefault="00055887" w:rsidP="00055887">
      <w:pPr>
        <w:pStyle w:val="Legenda"/>
      </w:pPr>
      <w:bookmarkStart w:id="30" w:name="_Toc495887824"/>
      <w:r>
        <w:t xml:space="preserve">Wykres </w:t>
      </w:r>
      <w:r w:rsidR="00172343">
        <w:fldChar w:fldCharType="begin"/>
      </w:r>
      <w:r w:rsidR="00172343">
        <w:instrText xml:space="preserve"> SEQ Wykres \* ARABIC </w:instrText>
      </w:r>
      <w:r w:rsidR="00172343">
        <w:fldChar w:fldCharType="separate"/>
      </w:r>
      <w:r w:rsidR="00A57C08">
        <w:rPr>
          <w:noProof/>
        </w:rPr>
        <w:t>10</w:t>
      </w:r>
      <w:r w:rsidR="00172343">
        <w:rPr>
          <w:noProof/>
        </w:rPr>
        <w:fldChar w:fldCharType="end"/>
      </w:r>
      <w:r>
        <w:t xml:space="preserve"> </w:t>
      </w:r>
      <w:r w:rsidRPr="00055887">
        <w:t>udział dzieci w wieku do lat 17, na które rodzice otrzymują zasiłek rodzinny w ogólnej liczbie dzieci w tym wieku</w:t>
      </w:r>
      <w:bookmarkEnd w:id="30"/>
    </w:p>
    <w:p w:rsidR="0089056C" w:rsidRPr="0089056C" w:rsidRDefault="0089056C" w:rsidP="00055887">
      <w:pPr>
        <w:pStyle w:val="Legenda"/>
      </w:pPr>
      <w:r>
        <w:rPr>
          <w:noProof/>
          <w:lang w:eastAsia="pl-PL"/>
        </w:rPr>
        <w:drawing>
          <wp:inline distT="0" distB="0" distL="0" distR="0" wp14:anchorId="543453FA" wp14:editId="768689A4">
            <wp:extent cx="5760720" cy="2908878"/>
            <wp:effectExtent l="0" t="0" r="11430" b="2540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055887" w:rsidRPr="00055887">
        <w:t xml:space="preserve"> </w:t>
      </w:r>
      <w:r w:rsidR="00055887">
        <w:t>Źródło: Opracowanie własne na podstawie danych na podstawie danych GUS – przekroje terytorialne BDL</w:t>
      </w:r>
    </w:p>
    <w:p w:rsidR="007008B8" w:rsidRDefault="007008B8" w:rsidP="00180DE9">
      <w:pPr>
        <w:pStyle w:val="Bezodstpw"/>
        <w:spacing w:line="276" w:lineRule="auto"/>
      </w:pPr>
    </w:p>
    <w:p w:rsidR="00180DE9" w:rsidRDefault="00180DE9" w:rsidP="00180DE9">
      <w:pPr>
        <w:pStyle w:val="Bezodstpw"/>
        <w:spacing w:line="276" w:lineRule="auto"/>
        <w:ind w:firstLine="708"/>
        <w:jc w:val="both"/>
      </w:pPr>
    </w:p>
    <w:p w:rsidR="00180DE9" w:rsidRDefault="00180DE9" w:rsidP="00180DE9">
      <w:pPr>
        <w:pStyle w:val="Bezodstpw"/>
        <w:spacing w:line="276" w:lineRule="auto"/>
        <w:ind w:firstLine="708"/>
        <w:jc w:val="both"/>
      </w:pPr>
    </w:p>
    <w:p w:rsidR="00C536C6" w:rsidRDefault="00C536C6" w:rsidP="00180DE9">
      <w:pPr>
        <w:pStyle w:val="Bezodstpw"/>
        <w:spacing w:line="276" w:lineRule="auto"/>
        <w:ind w:firstLine="708"/>
        <w:jc w:val="both"/>
      </w:pPr>
    </w:p>
    <w:p w:rsidR="00C536C6" w:rsidRDefault="00C536C6" w:rsidP="00180DE9">
      <w:pPr>
        <w:pStyle w:val="Bezodstpw"/>
        <w:spacing w:line="276" w:lineRule="auto"/>
        <w:ind w:firstLine="708"/>
        <w:jc w:val="both"/>
      </w:pPr>
      <w:r>
        <w:t>Do najczęstszych powodów przyznania świadczeń zalicza się bezrobocie, ubóstwo, wie</w:t>
      </w:r>
      <w:r w:rsidR="00E058A3">
        <w:t>lodzietność i niepełnosprawność.</w:t>
      </w:r>
    </w:p>
    <w:p w:rsidR="00C536C6" w:rsidRDefault="00C536C6" w:rsidP="00180DE9">
      <w:pPr>
        <w:pStyle w:val="Bezodstpw"/>
        <w:spacing w:line="276" w:lineRule="auto"/>
        <w:ind w:firstLine="708"/>
        <w:jc w:val="both"/>
      </w:pPr>
    </w:p>
    <w:p w:rsidR="00C536C6" w:rsidRDefault="00C536C6" w:rsidP="00C536C6">
      <w:pPr>
        <w:pStyle w:val="Legenda"/>
      </w:pPr>
      <w:bookmarkStart w:id="31" w:name="_Toc495887792"/>
      <w:r>
        <w:t xml:space="preserve">Tabela </w:t>
      </w:r>
      <w:r w:rsidR="00172343">
        <w:fldChar w:fldCharType="begin"/>
      </w:r>
      <w:r w:rsidR="00172343">
        <w:instrText xml:space="preserve"> SEQ Tabela \* ARABIC </w:instrText>
      </w:r>
      <w:r w:rsidR="00172343">
        <w:fldChar w:fldCharType="separate"/>
      </w:r>
      <w:r w:rsidR="00D67FEC">
        <w:rPr>
          <w:noProof/>
        </w:rPr>
        <w:t>3</w:t>
      </w:r>
      <w:r w:rsidR="00172343">
        <w:rPr>
          <w:noProof/>
        </w:rPr>
        <w:fldChar w:fldCharType="end"/>
      </w:r>
      <w:r>
        <w:t xml:space="preserve"> </w:t>
      </w:r>
      <w:r w:rsidRPr="00C536C6">
        <w:t>Liczba rodzin korzystających z pomocy społecznej</w:t>
      </w:r>
      <w:r w:rsidR="00E058A3">
        <w:t xml:space="preserve"> wg kryterium przyznania pomocy</w:t>
      </w:r>
      <w:bookmarkEnd w:id="31"/>
    </w:p>
    <w:tbl>
      <w:tblPr>
        <w:tblStyle w:val="Tabelasiatki5ciemnaakcent32"/>
        <w:tblW w:w="9180" w:type="dxa"/>
        <w:tblLayout w:type="fixed"/>
        <w:tblLook w:val="04A0" w:firstRow="1" w:lastRow="0" w:firstColumn="1" w:lastColumn="0" w:noHBand="0" w:noVBand="1"/>
      </w:tblPr>
      <w:tblGrid>
        <w:gridCol w:w="3640"/>
        <w:gridCol w:w="1846"/>
        <w:gridCol w:w="1847"/>
        <w:gridCol w:w="1847"/>
      </w:tblGrid>
      <w:tr w:rsidR="00C536C6" w:rsidRPr="00C536C6" w:rsidTr="001957A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40" w:type="dxa"/>
            <w:hideMark/>
          </w:tcPr>
          <w:p w:rsidR="00C536C6" w:rsidRPr="00C536C6" w:rsidRDefault="00C536C6" w:rsidP="00C536C6">
            <w:pPr>
              <w:rPr>
                <w:rFonts w:asciiTheme="minorHAnsi" w:eastAsia="Times New Roman" w:hAnsiTheme="minorHAnsi" w:cstheme="minorHAnsi"/>
                <w:color w:val="1C7DF3"/>
              </w:rPr>
            </w:pPr>
            <w:r w:rsidRPr="00C536C6">
              <w:rPr>
                <w:rFonts w:asciiTheme="minorHAnsi" w:eastAsia="Times New Roman" w:hAnsiTheme="minorHAnsi" w:cstheme="minorHAnsi"/>
                <w:color w:val="1C7DF3"/>
              </w:rPr>
              <w:t> </w:t>
            </w:r>
          </w:p>
        </w:tc>
        <w:tc>
          <w:tcPr>
            <w:tcW w:w="1846" w:type="dxa"/>
            <w:noWrap/>
            <w:hideMark/>
          </w:tcPr>
          <w:p w:rsidR="00C536C6" w:rsidRPr="00C536C6" w:rsidRDefault="00C536C6" w:rsidP="00C536C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2012</w:t>
            </w:r>
          </w:p>
        </w:tc>
        <w:tc>
          <w:tcPr>
            <w:tcW w:w="1847" w:type="dxa"/>
            <w:noWrap/>
            <w:hideMark/>
          </w:tcPr>
          <w:p w:rsidR="00C536C6" w:rsidRPr="00C536C6" w:rsidRDefault="00C536C6" w:rsidP="00C536C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2013</w:t>
            </w:r>
          </w:p>
        </w:tc>
        <w:tc>
          <w:tcPr>
            <w:tcW w:w="1847" w:type="dxa"/>
            <w:noWrap/>
            <w:hideMark/>
          </w:tcPr>
          <w:p w:rsidR="00C536C6" w:rsidRPr="00C536C6" w:rsidRDefault="00C536C6" w:rsidP="00C536C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2014</w:t>
            </w:r>
          </w:p>
        </w:tc>
      </w:tr>
      <w:tr w:rsidR="00C536C6" w:rsidRPr="00C536C6" w:rsidTr="001957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40" w:type="dxa"/>
            <w:noWrap/>
            <w:hideMark/>
          </w:tcPr>
          <w:p w:rsidR="00C536C6" w:rsidRPr="00C536C6" w:rsidRDefault="00C536C6" w:rsidP="00C536C6">
            <w:pPr>
              <w:rPr>
                <w:rFonts w:asciiTheme="minorHAnsi" w:eastAsia="Times New Roman" w:hAnsiTheme="minorHAnsi" w:cstheme="minorHAnsi"/>
              </w:rPr>
            </w:pPr>
            <w:r w:rsidRPr="00C536C6">
              <w:rPr>
                <w:rFonts w:asciiTheme="minorHAnsi" w:eastAsia="Times New Roman" w:hAnsiTheme="minorHAnsi" w:cstheme="minorHAnsi"/>
              </w:rPr>
              <w:t>bezrobocie</w:t>
            </w:r>
          </w:p>
        </w:tc>
        <w:tc>
          <w:tcPr>
            <w:tcW w:w="1846"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160</w:t>
            </w:r>
          </w:p>
        </w:tc>
        <w:tc>
          <w:tcPr>
            <w:tcW w:w="1847"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166</w:t>
            </w:r>
          </w:p>
        </w:tc>
        <w:tc>
          <w:tcPr>
            <w:tcW w:w="1847"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180</w:t>
            </w:r>
          </w:p>
        </w:tc>
      </w:tr>
      <w:tr w:rsidR="00C536C6" w:rsidRPr="00C536C6" w:rsidTr="001957AA">
        <w:trPr>
          <w:trHeight w:val="315"/>
        </w:trPr>
        <w:tc>
          <w:tcPr>
            <w:cnfStyle w:val="001000000000" w:firstRow="0" w:lastRow="0" w:firstColumn="1" w:lastColumn="0" w:oddVBand="0" w:evenVBand="0" w:oddHBand="0" w:evenHBand="0" w:firstRowFirstColumn="0" w:firstRowLastColumn="0" w:lastRowFirstColumn="0" w:lastRowLastColumn="0"/>
            <w:tcW w:w="3640" w:type="dxa"/>
            <w:hideMark/>
          </w:tcPr>
          <w:p w:rsidR="00C536C6" w:rsidRPr="00C536C6" w:rsidRDefault="00C536C6" w:rsidP="00C536C6">
            <w:pPr>
              <w:rPr>
                <w:rFonts w:asciiTheme="minorHAnsi" w:eastAsia="Times New Roman" w:hAnsiTheme="minorHAnsi" w:cstheme="minorHAnsi"/>
              </w:rPr>
            </w:pPr>
            <w:r w:rsidRPr="00C536C6">
              <w:rPr>
                <w:rFonts w:asciiTheme="minorHAnsi" w:eastAsia="Times New Roman" w:hAnsiTheme="minorHAnsi" w:cstheme="minorHAnsi"/>
              </w:rPr>
              <w:t>ubóstwo</w:t>
            </w:r>
          </w:p>
        </w:tc>
        <w:tc>
          <w:tcPr>
            <w:tcW w:w="1846"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144</w:t>
            </w:r>
          </w:p>
        </w:tc>
        <w:tc>
          <w:tcPr>
            <w:tcW w:w="1847"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141</w:t>
            </w:r>
          </w:p>
        </w:tc>
        <w:tc>
          <w:tcPr>
            <w:tcW w:w="1847"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163</w:t>
            </w:r>
          </w:p>
        </w:tc>
      </w:tr>
      <w:tr w:rsidR="00C536C6" w:rsidRPr="00C536C6" w:rsidTr="001957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40" w:type="dxa"/>
            <w:hideMark/>
          </w:tcPr>
          <w:p w:rsidR="00C536C6" w:rsidRPr="00C536C6" w:rsidRDefault="00C536C6" w:rsidP="00C536C6">
            <w:pPr>
              <w:rPr>
                <w:rFonts w:asciiTheme="minorHAnsi" w:eastAsia="Times New Roman" w:hAnsiTheme="minorHAnsi" w:cstheme="minorHAnsi"/>
              </w:rPr>
            </w:pPr>
            <w:r w:rsidRPr="00C536C6">
              <w:rPr>
                <w:rFonts w:asciiTheme="minorHAnsi" w:eastAsia="Times New Roman" w:hAnsiTheme="minorHAnsi" w:cstheme="minorHAnsi"/>
              </w:rPr>
              <w:t>wielodzietność</w:t>
            </w:r>
          </w:p>
        </w:tc>
        <w:tc>
          <w:tcPr>
            <w:tcW w:w="1846"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91</w:t>
            </w:r>
          </w:p>
        </w:tc>
        <w:tc>
          <w:tcPr>
            <w:tcW w:w="1847"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118</w:t>
            </w:r>
          </w:p>
        </w:tc>
        <w:tc>
          <w:tcPr>
            <w:tcW w:w="1847"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122</w:t>
            </w:r>
          </w:p>
        </w:tc>
      </w:tr>
      <w:tr w:rsidR="00C536C6" w:rsidRPr="00C536C6" w:rsidTr="001957AA">
        <w:trPr>
          <w:trHeight w:val="315"/>
        </w:trPr>
        <w:tc>
          <w:tcPr>
            <w:cnfStyle w:val="001000000000" w:firstRow="0" w:lastRow="0" w:firstColumn="1" w:lastColumn="0" w:oddVBand="0" w:evenVBand="0" w:oddHBand="0" w:evenHBand="0" w:firstRowFirstColumn="0" w:firstRowLastColumn="0" w:lastRowFirstColumn="0" w:lastRowLastColumn="0"/>
            <w:tcW w:w="3640" w:type="dxa"/>
            <w:hideMark/>
          </w:tcPr>
          <w:p w:rsidR="00C536C6" w:rsidRPr="00C536C6" w:rsidRDefault="00C536C6" w:rsidP="00C536C6">
            <w:pPr>
              <w:rPr>
                <w:rFonts w:asciiTheme="minorHAnsi" w:eastAsia="Times New Roman" w:hAnsiTheme="minorHAnsi" w:cstheme="minorHAnsi"/>
              </w:rPr>
            </w:pPr>
            <w:r w:rsidRPr="00C536C6">
              <w:rPr>
                <w:rFonts w:asciiTheme="minorHAnsi" w:eastAsia="Times New Roman" w:hAnsiTheme="minorHAnsi" w:cstheme="minorHAnsi"/>
              </w:rPr>
              <w:t>niepełnosprawność</w:t>
            </w:r>
          </w:p>
        </w:tc>
        <w:tc>
          <w:tcPr>
            <w:tcW w:w="1846"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83</w:t>
            </w:r>
          </w:p>
        </w:tc>
        <w:tc>
          <w:tcPr>
            <w:tcW w:w="1847"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92</w:t>
            </w:r>
          </w:p>
        </w:tc>
        <w:tc>
          <w:tcPr>
            <w:tcW w:w="1847"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107</w:t>
            </w:r>
          </w:p>
        </w:tc>
      </w:tr>
      <w:tr w:rsidR="00C536C6" w:rsidRPr="00C536C6" w:rsidTr="001957AA">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640" w:type="dxa"/>
            <w:hideMark/>
          </w:tcPr>
          <w:p w:rsidR="00C536C6" w:rsidRPr="00C536C6" w:rsidRDefault="00C536C6" w:rsidP="00C536C6">
            <w:pPr>
              <w:rPr>
                <w:rFonts w:asciiTheme="minorHAnsi" w:eastAsia="Times New Roman" w:hAnsiTheme="minorHAnsi" w:cstheme="minorHAnsi"/>
              </w:rPr>
            </w:pPr>
            <w:r w:rsidRPr="00C536C6">
              <w:rPr>
                <w:rFonts w:asciiTheme="minorHAnsi" w:eastAsia="Times New Roman" w:hAnsiTheme="minorHAnsi" w:cstheme="minorHAnsi"/>
              </w:rPr>
              <w:t>długotrwała lub ciężka choroba</w:t>
            </w:r>
          </w:p>
        </w:tc>
        <w:tc>
          <w:tcPr>
            <w:tcW w:w="1846"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28</w:t>
            </w:r>
          </w:p>
        </w:tc>
        <w:tc>
          <w:tcPr>
            <w:tcW w:w="1847"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22</w:t>
            </w:r>
          </w:p>
        </w:tc>
        <w:tc>
          <w:tcPr>
            <w:tcW w:w="1847"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27</w:t>
            </w:r>
          </w:p>
        </w:tc>
      </w:tr>
      <w:tr w:rsidR="00C536C6" w:rsidRPr="00C536C6" w:rsidTr="001957AA">
        <w:trPr>
          <w:trHeight w:val="525"/>
        </w:trPr>
        <w:tc>
          <w:tcPr>
            <w:cnfStyle w:val="001000000000" w:firstRow="0" w:lastRow="0" w:firstColumn="1" w:lastColumn="0" w:oddVBand="0" w:evenVBand="0" w:oddHBand="0" w:evenHBand="0" w:firstRowFirstColumn="0" w:firstRowLastColumn="0" w:lastRowFirstColumn="0" w:lastRowLastColumn="0"/>
            <w:tcW w:w="3640" w:type="dxa"/>
            <w:hideMark/>
          </w:tcPr>
          <w:p w:rsidR="00C536C6" w:rsidRPr="00C536C6" w:rsidRDefault="00C536C6" w:rsidP="00C536C6">
            <w:pPr>
              <w:rPr>
                <w:rFonts w:asciiTheme="minorHAnsi" w:eastAsia="Times New Roman" w:hAnsiTheme="minorHAnsi" w:cstheme="minorHAnsi"/>
              </w:rPr>
            </w:pPr>
            <w:r w:rsidRPr="00C536C6">
              <w:rPr>
                <w:rFonts w:asciiTheme="minorHAnsi" w:eastAsia="Times New Roman" w:hAnsiTheme="minorHAnsi" w:cstheme="minorHAnsi"/>
              </w:rPr>
              <w:t>bezradność w sprawach opiekuńczo-wychowawczych</w:t>
            </w:r>
          </w:p>
        </w:tc>
        <w:tc>
          <w:tcPr>
            <w:tcW w:w="1846"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20</w:t>
            </w:r>
          </w:p>
        </w:tc>
        <w:tc>
          <w:tcPr>
            <w:tcW w:w="1847"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22</w:t>
            </w:r>
          </w:p>
        </w:tc>
        <w:tc>
          <w:tcPr>
            <w:tcW w:w="1847"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25</w:t>
            </w:r>
          </w:p>
        </w:tc>
      </w:tr>
      <w:tr w:rsidR="00C536C6" w:rsidRPr="00C536C6" w:rsidTr="001957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40" w:type="dxa"/>
            <w:hideMark/>
          </w:tcPr>
          <w:p w:rsidR="00C536C6" w:rsidRPr="00C536C6" w:rsidRDefault="00C536C6" w:rsidP="00C536C6">
            <w:pPr>
              <w:rPr>
                <w:rFonts w:asciiTheme="minorHAnsi" w:eastAsia="Times New Roman" w:hAnsiTheme="minorHAnsi" w:cstheme="minorHAnsi"/>
              </w:rPr>
            </w:pPr>
            <w:r w:rsidRPr="00C536C6">
              <w:rPr>
                <w:rFonts w:asciiTheme="minorHAnsi" w:eastAsia="Times New Roman" w:hAnsiTheme="minorHAnsi" w:cstheme="minorHAnsi"/>
              </w:rPr>
              <w:t>przemoc w rodzinie</w:t>
            </w:r>
          </w:p>
        </w:tc>
        <w:tc>
          <w:tcPr>
            <w:tcW w:w="1846"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2</w:t>
            </w:r>
          </w:p>
        </w:tc>
        <w:tc>
          <w:tcPr>
            <w:tcW w:w="1847"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8</w:t>
            </w:r>
          </w:p>
        </w:tc>
        <w:tc>
          <w:tcPr>
            <w:tcW w:w="1847"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8</w:t>
            </w:r>
          </w:p>
        </w:tc>
      </w:tr>
      <w:tr w:rsidR="00C536C6" w:rsidRPr="00C536C6" w:rsidTr="001957AA">
        <w:trPr>
          <w:trHeight w:val="315"/>
        </w:trPr>
        <w:tc>
          <w:tcPr>
            <w:cnfStyle w:val="001000000000" w:firstRow="0" w:lastRow="0" w:firstColumn="1" w:lastColumn="0" w:oddVBand="0" w:evenVBand="0" w:oddHBand="0" w:evenHBand="0" w:firstRowFirstColumn="0" w:firstRowLastColumn="0" w:lastRowFirstColumn="0" w:lastRowLastColumn="0"/>
            <w:tcW w:w="3640" w:type="dxa"/>
            <w:hideMark/>
          </w:tcPr>
          <w:p w:rsidR="00C536C6" w:rsidRPr="00C536C6" w:rsidRDefault="00C536C6" w:rsidP="00C536C6">
            <w:pPr>
              <w:rPr>
                <w:rFonts w:asciiTheme="minorHAnsi" w:eastAsia="Times New Roman" w:hAnsiTheme="minorHAnsi" w:cstheme="minorHAnsi"/>
              </w:rPr>
            </w:pPr>
            <w:r w:rsidRPr="00C536C6">
              <w:rPr>
                <w:rFonts w:asciiTheme="minorHAnsi" w:eastAsia="Times New Roman" w:hAnsiTheme="minorHAnsi" w:cstheme="minorHAnsi"/>
              </w:rPr>
              <w:t>uzależnienia (alkoholizm)</w:t>
            </w:r>
          </w:p>
        </w:tc>
        <w:tc>
          <w:tcPr>
            <w:tcW w:w="1846"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5</w:t>
            </w:r>
          </w:p>
        </w:tc>
        <w:tc>
          <w:tcPr>
            <w:tcW w:w="1847"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4</w:t>
            </w:r>
          </w:p>
        </w:tc>
        <w:tc>
          <w:tcPr>
            <w:tcW w:w="1847"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6</w:t>
            </w:r>
          </w:p>
        </w:tc>
      </w:tr>
    </w:tbl>
    <w:p w:rsidR="00C536C6" w:rsidRDefault="00C536C6" w:rsidP="00C536C6">
      <w:pPr>
        <w:pStyle w:val="Legenda"/>
      </w:pPr>
      <w:r>
        <w:t xml:space="preserve">Źródło: </w:t>
      </w:r>
      <w:r w:rsidRPr="00C13F93">
        <w:t>Sprawozdanie półroczne i roczne z udzielonych świadczeń pomocy społecznej - pieniężnych, w naturze i</w:t>
      </w:r>
      <w:r>
        <w:t> </w:t>
      </w:r>
      <w:r w:rsidRPr="00C13F93">
        <w:t>usługach, Ministerstwo Pracy i Polityki Społecznej</w:t>
      </w:r>
    </w:p>
    <w:p w:rsidR="00C536C6" w:rsidRDefault="00C536C6" w:rsidP="00C536C6">
      <w:pPr>
        <w:pStyle w:val="Bezodstpw"/>
        <w:spacing w:line="276" w:lineRule="auto"/>
        <w:ind w:firstLine="708"/>
        <w:jc w:val="both"/>
        <w:rPr>
          <w:rFonts w:cstheme="minorHAnsi"/>
        </w:rPr>
      </w:pPr>
      <w:r>
        <w:rPr>
          <w:rFonts w:cstheme="minorHAnsi"/>
        </w:rPr>
        <w:lastRenderedPageBreak/>
        <w:t xml:space="preserve">Z tytułu bezrobocia w 2014 roku udzielono pomocy 180 rodzinom (ok. 8% wszystkich rodzin). Z powodu ubóstwa przyznano pomoc 163 rodzinom (7%). Najmniejszy odsetek stanowią rodziny przemocowe lub w których istnieje problem alkoholowy. </w:t>
      </w:r>
    </w:p>
    <w:p w:rsidR="00E058A3" w:rsidRPr="00C536C6" w:rsidRDefault="00E058A3" w:rsidP="00C536C6">
      <w:pPr>
        <w:pStyle w:val="Bezodstpw"/>
        <w:spacing w:line="276" w:lineRule="auto"/>
        <w:ind w:firstLine="708"/>
        <w:jc w:val="both"/>
        <w:rPr>
          <w:rFonts w:cstheme="minorHAnsi"/>
        </w:rPr>
      </w:pPr>
    </w:p>
    <w:p w:rsidR="00C536C6" w:rsidRPr="00C536C6" w:rsidRDefault="00E058A3" w:rsidP="00E058A3">
      <w:pPr>
        <w:pStyle w:val="Legenda"/>
        <w:rPr>
          <w:rFonts w:cstheme="minorHAnsi"/>
        </w:rPr>
      </w:pPr>
      <w:bookmarkStart w:id="32" w:name="_Toc495887793"/>
      <w:r>
        <w:t xml:space="preserve">Tabela </w:t>
      </w:r>
      <w:r w:rsidR="00172343">
        <w:fldChar w:fldCharType="begin"/>
      </w:r>
      <w:r w:rsidR="00172343">
        <w:instrText xml:space="preserve"> SEQ Tabela \* ARABIC </w:instrText>
      </w:r>
      <w:r w:rsidR="00172343">
        <w:fldChar w:fldCharType="separate"/>
      </w:r>
      <w:r w:rsidR="00D67FEC">
        <w:rPr>
          <w:noProof/>
        </w:rPr>
        <w:t>4</w:t>
      </w:r>
      <w:r w:rsidR="00172343">
        <w:rPr>
          <w:noProof/>
        </w:rPr>
        <w:fldChar w:fldCharType="end"/>
      </w:r>
      <w:r>
        <w:t xml:space="preserve"> </w:t>
      </w:r>
      <w:r w:rsidRPr="00C536C6">
        <w:t xml:space="preserve">Liczba </w:t>
      </w:r>
      <w:r>
        <w:t xml:space="preserve">osób w </w:t>
      </w:r>
      <w:r w:rsidRPr="00C536C6">
        <w:t>rodzin</w:t>
      </w:r>
      <w:r>
        <w:t>ach</w:t>
      </w:r>
      <w:r w:rsidRPr="00C536C6">
        <w:t xml:space="preserve"> korzystających z pomocy społecznej</w:t>
      </w:r>
      <w:r>
        <w:t xml:space="preserve"> wg kryterium przyznania pomocy</w:t>
      </w:r>
      <w:bookmarkEnd w:id="32"/>
    </w:p>
    <w:tbl>
      <w:tblPr>
        <w:tblStyle w:val="Tabelasiatki5ciemnaakcent32"/>
        <w:tblW w:w="9180" w:type="dxa"/>
        <w:tblLayout w:type="fixed"/>
        <w:tblLook w:val="04A0" w:firstRow="1" w:lastRow="0" w:firstColumn="1" w:lastColumn="0" w:noHBand="0" w:noVBand="1"/>
      </w:tblPr>
      <w:tblGrid>
        <w:gridCol w:w="3652"/>
        <w:gridCol w:w="1842"/>
        <w:gridCol w:w="1843"/>
        <w:gridCol w:w="1843"/>
      </w:tblGrid>
      <w:tr w:rsidR="00C536C6" w:rsidRPr="00C536C6" w:rsidTr="001957A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noWrap/>
            <w:hideMark/>
          </w:tcPr>
          <w:p w:rsidR="00C536C6" w:rsidRPr="00C536C6" w:rsidRDefault="00C536C6" w:rsidP="00C536C6">
            <w:pPr>
              <w:rPr>
                <w:rFonts w:asciiTheme="minorHAnsi" w:eastAsia="Times New Roman" w:hAnsiTheme="minorHAnsi" w:cstheme="minorHAnsi"/>
              </w:rPr>
            </w:pPr>
          </w:p>
        </w:tc>
        <w:tc>
          <w:tcPr>
            <w:tcW w:w="1842" w:type="dxa"/>
            <w:noWrap/>
            <w:hideMark/>
          </w:tcPr>
          <w:p w:rsidR="00C536C6" w:rsidRPr="00C536C6" w:rsidRDefault="00C536C6" w:rsidP="00C536C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2012</w:t>
            </w:r>
          </w:p>
        </w:tc>
        <w:tc>
          <w:tcPr>
            <w:tcW w:w="1843" w:type="dxa"/>
            <w:noWrap/>
            <w:hideMark/>
          </w:tcPr>
          <w:p w:rsidR="00C536C6" w:rsidRPr="00C536C6" w:rsidRDefault="00C536C6" w:rsidP="00C536C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2013</w:t>
            </w:r>
          </w:p>
        </w:tc>
        <w:tc>
          <w:tcPr>
            <w:tcW w:w="1843" w:type="dxa"/>
            <w:noWrap/>
            <w:hideMark/>
          </w:tcPr>
          <w:p w:rsidR="00C536C6" w:rsidRPr="00C536C6" w:rsidRDefault="00C536C6" w:rsidP="00C536C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2014</w:t>
            </w:r>
          </w:p>
        </w:tc>
      </w:tr>
      <w:tr w:rsidR="00C536C6" w:rsidRPr="00C536C6" w:rsidTr="001957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noWrap/>
            <w:hideMark/>
          </w:tcPr>
          <w:p w:rsidR="00C536C6" w:rsidRPr="00C536C6" w:rsidRDefault="00C536C6" w:rsidP="00C536C6">
            <w:pPr>
              <w:rPr>
                <w:rFonts w:asciiTheme="minorHAnsi" w:eastAsia="Times New Roman" w:hAnsiTheme="minorHAnsi" w:cstheme="minorHAnsi"/>
              </w:rPr>
            </w:pPr>
            <w:r w:rsidRPr="00C536C6">
              <w:rPr>
                <w:rFonts w:asciiTheme="minorHAnsi" w:eastAsia="Times New Roman" w:hAnsiTheme="minorHAnsi" w:cstheme="minorHAnsi"/>
              </w:rPr>
              <w:t>bezrobocie</w:t>
            </w:r>
          </w:p>
        </w:tc>
        <w:tc>
          <w:tcPr>
            <w:tcW w:w="1842"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661</w:t>
            </w:r>
          </w:p>
        </w:tc>
        <w:tc>
          <w:tcPr>
            <w:tcW w:w="1843"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703</w:t>
            </w:r>
          </w:p>
        </w:tc>
        <w:tc>
          <w:tcPr>
            <w:tcW w:w="1843"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714</w:t>
            </w:r>
          </w:p>
        </w:tc>
      </w:tr>
      <w:tr w:rsidR="00C536C6" w:rsidRPr="00C536C6" w:rsidTr="001957AA">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rsidR="00C536C6" w:rsidRPr="00C536C6" w:rsidRDefault="00C536C6" w:rsidP="00C536C6">
            <w:pPr>
              <w:rPr>
                <w:rFonts w:asciiTheme="minorHAnsi" w:eastAsia="Times New Roman" w:hAnsiTheme="minorHAnsi" w:cstheme="minorHAnsi"/>
              </w:rPr>
            </w:pPr>
            <w:r w:rsidRPr="00C536C6">
              <w:rPr>
                <w:rFonts w:asciiTheme="minorHAnsi" w:eastAsia="Times New Roman" w:hAnsiTheme="minorHAnsi" w:cstheme="minorHAnsi"/>
              </w:rPr>
              <w:t>wielodzietność</w:t>
            </w:r>
          </w:p>
        </w:tc>
        <w:tc>
          <w:tcPr>
            <w:tcW w:w="1842"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536</w:t>
            </w:r>
          </w:p>
        </w:tc>
        <w:tc>
          <w:tcPr>
            <w:tcW w:w="1843"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666</w:t>
            </w:r>
          </w:p>
        </w:tc>
        <w:tc>
          <w:tcPr>
            <w:tcW w:w="1843"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675</w:t>
            </w:r>
          </w:p>
        </w:tc>
      </w:tr>
      <w:tr w:rsidR="00C536C6" w:rsidRPr="00C536C6" w:rsidTr="001957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rsidR="00C536C6" w:rsidRPr="00C536C6" w:rsidRDefault="00C536C6" w:rsidP="00C536C6">
            <w:pPr>
              <w:rPr>
                <w:rFonts w:asciiTheme="minorHAnsi" w:eastAsia="Times New Roman" w:hAnsiTheme="minorHAnsi" w:cstheme="minorHAnsi"/>
              </w:rPr>
            </w:pPr>
            <w:r w:rsidRPr="00C536C6">
              <w:rPr>
                <w:rFonts w:asciiTheme="minorHAnsi" w:eastAsia="Times New Roman" w:hAnsiTheme="minorHAnsi" w:cstheme="minorHAnsi"/>
              </w:rPr>
              <w:t>ubóstwo</w:t>
            </w:r>
          </w:p>
        </w:tc>
        <w:tc>
          <w:tcPr>
            <w:tcW w:w="1842"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530</w:t>
            </w:r>
          </w:p>
        </w:tc>
        <w:tc>
          <w:tcPr>
            <w:tcW w:w="1843"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572</w:t>
            </w:r>
          </w:p>
        </w:tc>
        <w:tc>
          <w:tcPr>
            <w:tcW w:w="1843"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637</w:t>
            </w:r>
          </w:p>
        </w:tc>
      </w:tr>
      <w:tr w:rsidR="00C536C6" w:rsidRPr="00C536C6" w:rsidTr="001957AA">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rsidR="00C536C6" w:rsidRPr="00C536C6" w:rsidRDefault="00C536C6" w:rsidP="00C536C6">
            <w:pPr>
              <w:rPr>
                <w:rFonts w:asciiTheme="minorHAnsi" w:eastAsia="Times New Roman" w:hAnsiTheme="minorHAnsi" w:cstheme="minorHAnsi"/>
              </w:rPr>
            </w:pPr>
            <w:r w:rsidRPr="00C536C6">
              <w:rPr>
                <w:rFonts w:asciiTheme="minorHAnsi" w:eastAsia="Times New Roman" w:hAnsiTheme="minorHAnsi" w:cstheme="minorHAnsi"/>
              </w:rPr>
              <w:t>niepełnosprawność</w:t>
            </w:r>
          </w:p>
        </w:tc>
        <w:tc>
          <w:tcPr>
            <w:tcW w:w="1842"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307</w:t>
            </w:r>
          </w:p>
        </w:tc>
        <w:tc>
          <w:tcPr>
            <w:tcW w:w="1843"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329</w:t>
            </w:r>
          </w:p>
        </w:tc>
        <w:tc>
          <w:tcPr>
            <w:tcW w:w="1843"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372</w:t>
            </w:r>
          </w:p>
        </w:tc>
      </w:tr>
      <w:tr w:rsidR="00C536C6" w:rsidRPr="00C536C6" w:rsidTr="001957AA">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652" w:type="dxa"/>
            <w:hideMark/>
          </w:tcPr>
          <w:p w:rsidR="00C536C6" w:rsidRPr="00C536C6" w:rsidRDefault="00C536C6" w:rsidP="00C536C6">
            <w:pPr>
              <w:rPr>
                <w:rFonts w:asciiTheme="minorHAnsi" w:eastAsia="Times New Roman" w:hAnsiTheme="minorHAnsi" w:cstheme="minorHAnsi"/>
              </w:rPr>
            </w:pPr>
            <w:r w:rsidRPr="00C536C6">
              <w:rPr>
                <w:rFonts w:asciiTheme="minorHAnsi" w:eastAsia="Times New Roman" w:hAnsiTheme="minorHAnsi" w:cstheme="minorHAnsi"/>
              </w:rPr>
              <w:t>bezradność w sprawach opiekuńczo-wychowawczych</w:t>
            </w:r>
          </w:p>
        </w:tc>
        <w:tc>
          <w:tcPr>
            <w:tcW w:w="1842"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79</w:t>
            </w:r>
          </w:p>
        </w:tc>
        <w:tc>
          <w:tcPr>
            <w:tcW w:w="1843"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75</w:t>
            </w:r>
          </w:p>
        </w:tc>
        <w:tc>
          <w:tcPr>
            <w:tcW w:w="1843"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111</w:t>
            </w:r>
          </w:p>
        </w:tc>
      </w:tr>
      <w:tr w:rsidR="00C536C6" w:rsidRPr="00C536C6" w:rsidTr="001957AA">
        <w:trPr>
          <w:trHeight w:val="525"/>
        </w:trPr>
        <w:tc>
          <w:tcPr>
            <w:cnfStyle w:val="001000000000" w:firstRow="0" w:lastRow="0" w:firstColumn="1" w:lastColumn="0" w:oddVBand="0" w:evenVBand="0" w:oddHBand="0" w:evenHBand="0" w:firstRowFirstColumn="0" w:firstRowLastColumn="0" w:lastRowFirstColumn="0" w:lastRowLastColumn="0"/>
            <w:tcW w:w="3652" w:type="dxa"/>
            <w:hideMark/>
          </w:tcPr>
          <w:p w:rsidR="00C536C6" w:rsidRPr="00C536C6" w:rsidRDefault="00C536C6" w:rsidP="00C536C6">
            <w:pPr>
              <w:rPr>
                <w:rFonts w:asciiTheme="minorHAnsi" w:eastAsia="Times New Roman" w:hAnsiTheme="minorHAnsi" w:cstheme="minorHAnsi"/>
              </w:rPr>
            </w:pPr>
            <w:r w:rsidRPr="00C536C6">
              <w:rPr>
                <w:rFonts w:asciiTheme="minorHAnsi" w:eastAsia="Times New Roman" w:hAnsiTheme="minorHAnsi" w:cstheme="minorHAnsi"/>
              </w:rPr>
              <w:t>długotrwała lub ciężka choroba</w:t>
            </w:r>
          </w:p>
        </w:tc>
        <w:tc>
          <w:tcPr>
            <w:tcW w:w="1842"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95</w:t>
            </w:r>
          </w:p>
        </w:tc>
        <w:tc>
          <w:tcPr>
            <w:tcW w:w="1843"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62</w:t>
            </w:r>
          </w:p>
        </w:tc>
        <w:tc>
          <w:tcPr>
            <w:tcW w:w="1843"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86</w:t>
            </w:r>
          </w:p>
        </w:tc>
      </w:tr>
      <w:tr w:rsidR="00C536C6" w:rsidRPr="00C536C6" w:rsidTr="001957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rsidR="00C536C6" w:rsidRPr="00C536C6" w:rsidRDefault="00C536C6" w:rsidP="00C536C6">
            <w:pPr>
              <w:rPr>
                <w:rFonts w:asciiTheme="minorHAnsi" w:eastAsia="Times New Roman" w:hAnsiTheme="minorHAnsi" w:cstheme="minorHAnsi"/>
              </w:rPr>
            </w:pPr>
            <w:r w:rsidRPr="00C536C6">
              <w:rPr>
                <w:rFonts w:asciiTheme="minorHAnsi" w:eastAsia="Times New Roman" w:hAnsiTheme="minorHAnsi" w:cstheme="minorHAnsi"/>
              </w:rPr>
              <w:t>przemoc w rodzinie</w:t>
            </w:r>
          </w:p>
        </w:tc>
        <w:tc>
          <w:tcPr>
            <w:tcW w:w="1842"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13</w:t>
            </w:r>
          </w:p>
        </w:tc>
        <w:tc>
          <w:tcPr>
            <w:tcW w:w="1843"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37</w:t>
            </w:r>
          </w:p>
        </w:tc>
        <w:tc>
          <w:tcPr>
            <w:tcW w:w="1843" w:type="dxa"/>
            <w:noWrap/>
            <w:hideMark/>
          </w:tcPr>
          <w:p w:rsidR="00C536C6" w:rsidRPr="00C536C6" w:rsidRDefault="00C536C6" w:rsidP="00C536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35</w:t>
            </w:r>
          </w:p>
        </w:tc>
      </w:tr>
      <w:tr w:rsidR="00C536C6" w:rsidRPr="00C536C6" w:rsidTr="001957AA">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rsidR="00C536C6" w:rsidRPr="00C536C6" w:rsidRDefault="00C536C6" w:rsidP="00C536C6">
            <w:pPr>
              <w:rPr>
                <w:rFonts w:asciiTheme="minorHAnsi" w:eastAsia="Times New Roman" w:hAnsiTheme="minorHAnsi" w:cstheme="minorHAnsi"/>
              </w:rPr>
            </w:pPr>
            <w:r w:rsidRPr="00C536C6">
              <w:rPr>
                <w:rFonts w:asciiTheme="minorHAnsi" w:eastAsia="Times New Roman" w:hAnsiTheme="minorHAnsi" w:cstheme="minorHAnsi"/>
              </w:rPr>
              <w:t>uzależnienia (alkoholizm)</w:t>
            </w:r>
          </w:p>
        </w:tc>
        <w:tc>
          <w:tcPr>
            <w:tcW w:w="1842"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17</w:t>
            </w:r>
          </w:p>
        </w:tc>
        <w:tc>
          <w:tcPr>
            <w:tcW w:w="1843"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11</w:t>
            </w:r>
          </w:p>
        </w:tc>
        <w:tc>
          <w:tcPr>
            <w:tcW w:w="1843" w:type="dxa"/>
            <w:noWrap/>
            <w:hideMark/>
          </w:tcPr>
          <w:p w:rsidR="00C536C6" w:rsidRPr="00C536C6" w:rsidRDefault="00C536C6" w:rsidP="00C536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C536C6">
              <w:rPr>
                <w:rFonts w:asciiTheme="minorHAnsi" w:eastAsia="Times New Roman" w:hAnsiTheme="minorHAnsi" w:cstheme="minorHAnsi"/>
              </w:rPr>
              <w:t>17</w:t>
            </w:r>
          </w:p>
        </w:tc>
      </w:tr>
    </w:tbl>
    <w:p w:rsidR="00E058A3" w:rsidRDefault="00E058A3" w:rsidP="00E058A3">
      <w:pPr>
        <w:pStyle w:val="Legenda"/>
      </w:pPr>
      <w:r>
        <w:t xml:space="preserve">Źródło: </w:t>
      </w:r>
      <w:r w:rsidRPr="00C13F93">
        <w:t>Sprawozdanie półroczne i roczne z udzielonych świadczeń pomocy społecznej - pieniężnych, w naturze i</w:t>
      </w:r>
      <w:r>
        <w:t> </w:t>
      </w:r>
      <w:r w:rsidRPr="00C13F93">
        <w:t>usługach, Ministerstwo Pracy i Polityki Społecznej</w:t>
      </w:r>
    </w:p>
    <w:p w:rsidR="00C536C6" w:rsidRPr="00C536C6" w:rsidRDefault="00E058A3" w:rsidP="00E058A3">
      <w:pPr>
        <w:pStyle w:val="Bezodstpw"/>
        <w:spacing w:line="276" w:lineRule="auto"/>
        <w:jc w:val="both"/>
        <w:rPr>
          <w:rFonts w:cstheme="minorHAnsi"/>
        </w:rPr>
      </w:pPr>
      <w:r>
        <w:rPr>
          <w:rFonts w:cstheme="minorHAnsi"/>
        </w:rPr>
        <w:tab/>
        <w:t>Licząc wszystkie osoby w rodzinie, które uzyskały świadczenia, z powodu bezrobocia wsparto 714 osób (8,5% wszystkich mieszkańców), z powodu potrzeby ochrony macierzyństwa (wielodzietności ) 675 osób (8%), ubóstwa 637 osób (7,6%).</w:t>
      </w:r>
    </w:p>
    <w:p w:rsidR="00C536C6" w:rsidRDefault="00C536C6" w:rsidP="00180DE9">
      <w:pPr>
        <w:pStyle w:val="Bezodstpw"/>
        <w:spacing w:line="276" w:lineRule="auto"/>
        <w:ind w:firstLine="708"/>
        <w:jc w:val="both"/>
      </w:pPr>
    </w:p>
    <w:p w:rsidR="00471A7F" w:rsidRDefault="00471A7F" w:rsidP="00180DE9">
      <w:pPr>
        <w:pStyle w:val="Bezodstpw"/>
        <w:spacing w:line="276" w:lineRule="auto"/>
        <w:ind w:firstLine="708"/>
        <w:jc w:val="both"/>
      </w:pPr>
      <w:r w:rsidRPr="00471A7F">
        <w:t xml:space="preserve">Od 2012 r. wydatki Gminy na pomoc społeczną rosną. W 2014 r. wyniosły 4 726 561 zł – o 8,5% więcej niż w 2012 r. W </w:t>
      </w:r>
      <w:r>
        <w:t xml:space="preserve">roku referencyjnym - </w:t>
      </w:r>
      <w:r w:rsidRPr="00471A7F">
        <w:t>2014 r. 71,4% łącznej kwoty wydatków stanowiły środki przeznaczone na świadczenia rodzinne, świadczenia z funduszu alimentacyjnego oraz składki na ubezpieczenie emerytalne i rentowe z ubezpieczenia społecznego.</w:t>
      </w:r>
    </w:p>
    <w:p w:rsidR="00E058A3" w:rsidRDefault="00E058A3" w:rsidP="00180DE9">
      <w:pPr>
        <w:pStyle w:val="Bezodstpw"/>
        <w:spacing w:line="276" w:lineRule="auto"/>
        <w:ind w:firstLine="708"/>
        <w:jc w:val="both"/>
      </w:pPr>
    </w:p>
    <w:p w:rsidR="004F0A01" w:rsidRDefault="004F0A01" w:rsidP="00180DE9">
      <w:pPr>
        <w:pStyle w:val="Bezodstpw"/>
        <w:spacing w:line="276" w:lineRule="auto"/>
        <w:ind w:firstLine="708"/>
        <w:jc w:val="both"/>
      </w:pPr>
    </w:p>
    <w:p w:rsidR="00055887" w:rsidRDefault="00471A7F" w:rsidP="00471A7F">
      <w:pPr>
        <w:pStyle w:val="Legenda"/>
      </w:pPr>
      <w:bookmarkStart w:id="33" w:name="_Toc495887825"/>
      <w:r>
        <w:t xml:space="preserve">Wykres </w:t>
      </w:r>
      <w:r w:rsidR="00172343">
        <w:fldChar w:fldCharType="begin"/>
      </w:r>
      <w:r w:rsidR="00172343">
        <w:instrText xml:space="preserve"> SEQ Wykres \* ARABIC </w:instrText>
      </w:r>
      <w:r w:rsidR="00172343">
        <w:fldChar w:fldCharType="separate"/>
      </w:r>
      <w:r w:rsidR="00A57C08">
        <w:rPr>
          <w:noProof/>
        </w:rPr>
        <w:t>11</w:t>
      </w:r>
      <w:r w:rsidR="00172343">
        <w:rPr>
          <w:noProof/>
        </w:rPr>
        <w:fldChar w:fldCharType="end"/>
      </w:r>
      <w:r>
        <w:t xml:space="preserve"> Wydatki budżetu gminy Tryńcza w dziale 852 pomoc społeczna w latach 2012-2016</w:t>
      </w:r>
      <w:bookmarkEnd w:id="33"/>
    </w:p>
    <w:p w:rsidR="00055887" w:rsidRDefault="00471A7F" w:rsidP="00471A7F">
      <w:pPr>
        <w:pStyle w:val="Legenda"/>
      </w:pPr>
      <w:r>
        <w:rPr>
          <w:noProof/>
          <w:lang w:eastAsia="pl-PL"/>
        </w:rPr>
        <w:drawing>
          <wp:inline distT="0" distB="0" distL="0" distR="0" wp14:anchorId="225B4108" wp14:editId="21DA8B54">
            <wp:extent cx="5760720" cy="2490228"/>
            <wp:effectExtent l="0" t="0" r="11430" b="24765"/>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t>Źródło: Opracowanie własne na podstawie danych na podstawie danych GUS – przekroje terytorialne BDL</w:t>
      </w:r>
    </w:p>
    <w:p w:rsidR="00055887" w:rsidRDefault="00055887" w:rsidP="00E4590B">
      <w:pPr>
        <w:pStyle w:val="Bezodstpw"/>
      </w:pPr>
    </w:p>
    <w:p w:rsidR="00471A7F" w:rsidRDefault="00471A7F" w:rsidP="00180DE9">
      <w:pPr>
        <w:pStyle w:val="Bezodstpw"/>
        <w:spacing w:line="276" w:lineRule="auto"/>
        <w:ind w:firstLine="708"/>
        <w:jc w:val="both"/>
      </w:pPr>
      <w:r>
        <w:lastRenderedPageBreak/>
        <w:t>W związku z nałożeniem nowych zadań na  gminy i gminne ośrodki pomocy społecznej (np.</w:t>
      </w:r>
      <w:r w:rsidR="00180DE9">
        <w:t> </w:t>
      </w:r>
      <w:r>
        <w:t xml:space="preserve"> karta dużej rodziny od 2014 roku, czy Program 500+ od roku 2016) widoczny jest wzrost udziału wydatków na pomoc społeczną w budżetach jednostek samorządu terytorialnego. W gminie Tryńcza przez ostatnie dwa lata udział ten wzrósł prawie dwuipółkrotnie,  </w:t>
      </w:r>
      <w:r w:rsidR="00180DE9">
        <w:t>przy spadku wartości wydatków o około 3%. Według danych dla powiatu przeworskiego udział wydatków na pomoc społeczną również wzrósł dwukrotnie od 2014 roku i sięgną poziomu 34%, w województwie natomiast od 2014 roku wzrósł o 80% i ukształtował się na poziomie 29,4% wydatków budżetu województwa podkarpackiego.</w:t>
      </w:r>
    </w:p>
    <w:p w:rsidR="00180DE9" w:rsidRDefault="00180DE9" w:rsidP="00180DE9">
      <w:pPr>
        <w:pStyle w:val="Bezodstpw"/>
        <w:spacing w:line="276" w:lineRule="auto"/>
        <w:ind w:firstLine="708"/>
        <w:jc w:val="both"/>
      </w:pPr>
    </w:p>
    <w:p w:rsidR="00180DE9" w:rsidRDefault="00180DE9" w:rsidP="00180DE9">
      <w:pPr>
        <w:pStyle w:val="Bezodstpw"/>
        <w:spacing w:line="276" w:lineRule="auto"/>
        <w:ind w:firstLine="708"/>
        <w:jc w:val="both"/>
      </w:pPr>
      <w:r w:rsidRPr="002943F5">
        <w:rPr>
          <w:b/>
        </w:rPr>
        <w:t>Dane te potwierdzają diagnozę Strategii Rozwiązywania Problemów Społecznych Gminy Tryńcza na lata 2016-2020 zgodnie z którą do największych problemów społecznych mieszkańców gminy należą</w:t>
      </w:r>
      <w:r w:rsidR="00E058A3" w:rsidRPr="002943F5">
        <w:rPr>
          <w:b/>
        </w:rPr>
        <w:t xml:space="preserve"> bezrobocie i ubóstwo</w:t>
      </w:r>
      <w:r w:rsidR="00E058A3">
        <w:t>.</w:t>
      </w:r>
    </w:p>
    <w:p w:rsidR="00180DE9" w:rsidRDefault="00180DE9" w:rsidP="00180DE9">
      <w:pPr>
        <w:pStyle w:val="Bezodstpw"/>
        <w:spacing w:line="276" w:lineRule="auto"/>
        <w:ind w:firstLine="708"/>
        <w:jc w:val="both"/>
      </w:pPr>
    </w:p>
    <w:p w:rsidR="00497E4E" w:rsidRDefault="00497E4E" w:rsidP="00E058A3">
      <w:pPr>
        <w:pStyle w:val="Nagwek2"/>
      </w:pPr>
      <w:bookmarkStart w:id="34" w:name="_Toc496558061"/>
      <w:bookmarkEnd w:id="20"/>
      <w:r>
        <w:t>Infrastruktura</w:t>
      </w:r>
      <w:bookmarkEnd w:id="34"/>
    </w:p>
    <w:p w:rsidR="00497E4E" w:rsidRDefault="00497E4E" w:rsidP="00497E4E"/>
    <w:p w:rsidR="00497E4E" w:rsidRDefault="00497E4E" w:rsidP="00497E4E">
      <w:pPr>
        <w:ind w:firstLine="708"/>
        <w:jc w:val="both"/>
      </w:pPr>
      <w:r>
        <w:t>Szereg inwestycji jakie zostały zrealizowane w Gminie Tryńcza, w szeroko rozumianą infrastrukturę, na przestrzeni ostatnich lat sprawił, że w wielu dziedzinach nastąpiła wyraźna poprawa. Zwiększyła się długość sieci wodociągowych i kanalizacyjnych, poprawił stan dróg, wybudowane zostały chodniki, lampy oświetleniowe, a także oddano do użytku liczne obiekty użyteczności publicznej, w tym infrastruktury sportowo-rekreacyjne, edukacyjnej. Poniżej znajduje się prezentacja stanu infrastruktury w ważniejszych obszarach:</w:t>
      </w:r>
    </w:p>
    <w:p w:rsidR="00497E4E" w:rsidRDefault="00497E4E" w:rsidP="00497E4E">
      <w:pPr>
        <w:pStyle w:val="Nagwek3"/>
      </w:pPr>
      <w:bookmarkStart w:id="35" w:name="_Toc496558062"/>
      <w:r>
        <w:t>Infrastruktura transportowa</w:t>
      </w:r>
      <w:bookmarkEnd w:id="35"/>
      <w:r>
        <w:t xml:space="preserve"> </w:t>
      </w:r>
    </w:p>
    <w:p w:rsidR="00497E4E" w:rsidRDefault="00497E4E" w:rsidP="00497E4E">
      <w:pPr>
        <w:spacing w:before="240"/>
        <w:ind w:firstLine="851"/>
        <w:jc w:val="both"/>
        <w:rPr>
          <w:color w:val="FF0000"/>
        </w:rPr>
      </w:pPr>
      <w:r>
        <w:rPr>
          <w:color w:val="000000"/>
        </w:rPr>
        <w:t>Przez teren G</w:t>
      </w:r>
      <w:r w:rsidRPr="00EB3730">
        <w:rPr>
          <w:color w:val="000000"/>
        </w:rPr>
        <w:t xml:space="preserve">miny Tryńcza przebiegają ważne drogi krajowe i wojewódzkie: droga krajowa 77 oraz droga wojewódzkie 835 (Lublin – Przeworsk – Grabownica Starzeń), </w:t>
      </w:r>
      <w:r>
        <w:rPr>
          <w:color w:val="000000"/>
        </w:rPr>
        <w:t>a w </w:t>
      </w:r>
      <w:r w:rsidRPr="00EB3730">
        <w:rPr>
          <w:color w:val="000000"/>
        </w:rPr>
        <w:t xml:space="preserve">niedalekiej odległości znajduje się także autostrada A4. </w:t>
      </w:r>
      <w:r>
        <w:rPr>
          <w:color w:val="000000"/>
        </w:rPr>
        <w:t>Przez G</w:t>
      </w:r>
      <w:r w:rsidRPr="00EB3730">
        <w:rPr>
          <w:color w:val="000000"/>
        </w:rPr>
        <w:t>minę bieg</w:t>
      </w:r>
      <w:r>
        <w:rPr>
          <w:color w:val="000000"/>
        </w:rPr>
        <w:t>nie także 12 </w:t>
      </w:r>
      <w:r w:rsidRPr="00EB3730">
        <w:rPr>
          <w:color w:val="000000"/>
        </w:rPr>
        <w:t xml:space="preserve">dróg powiatowych o łącznej długości ponad 35 km. Długość dróg gminnych </w:t>
      </w:r>
      <w:r w:rsidRPr="00A33F44">
        <w:rPr>
          <w:color w:val="000000"/>
        </w:rPr>
        <w:t xml:space="preserve">i dojazdowych do pól wynosi </w:t>
      </w:r>
      <w:r w:rsidRPr="00EB3730">
        <w:rPr>
          <w:color w:val="000000"/>
        </w:rPr>
        <w:t>wynosi 362,6 km i są to w</w:t>
      </w:r>
      <w:r>
        <w:rPr>
          <w:color w:val="000000"/>
        </w:rPr>
        <w:t> </w:t>
      </w:r>
      <w:r w:rsidRPr="00EB3730">
        <w:rPr>
          <w:color w:val="000000"/>
        </w:rPr>
        <w:t xml:space="preserve">większości drogi utwardzane, w tym </w:t>
      </w:r>
      <w:r w:rsidRPr="0042286C">
        <w:rPr>
          <w:color w:val="000000"/>
        </w:rPr>
        <w:t xml:space="preserve">asfaltowe o dobrej nawierzchni </w:t>
      </w:r>
      <w:r w:rsidRPr="005B5DB2">
        <w:t>bitumicznej.</w:t>
      </w:r>
      <w:r w:rsidRPr="00E3182E">
        <w:rPr>
          <w:color w:val="FF0000"/>
        </w:rPr>
        <w:t xml:space="preserve"> </w:t>
      </w:r>
      <w:r w:rsidRPr="0042286C">
        <w:rPr>
          <w:color w:val="000000"/>
        </w:rPr>
        <w:t xml:space="preserve">Przez teren </w:t>
      </w:r>
      <w:r>
        <w:rPr>
          <w:color w:val="000000"/>
        </w:rPr>
        <w:t>G</w:t>
      </w:r>
      <w:r w:rsidRPr="0042286C">
        <w:rPr>
          <w:color w:val="000000"/>
        </w:rPr>
        <w:t>miny przebiega także linia kolejowa Przeworsk-Lublin.</w:t>
      </w:r>
      <w:r w:rsidRPr="00E3182E">
        <w:rPr>
          <w:color w:val="FF0000"/>
        </w:rPr>
        <w:t xml:space="preserve"> </w:t>
      </w:r>
    </w:p>
    <w:p w:rsidR="00497E4E" w:rsidRDefault="00497E4E" w:rsidP="00497E4E">
      <w:pPr>
        <w:spacing w:before="240"/>
        <w:ind w:firstLine="851"/>
        <w:jc w:val="both"/>
        <w:rPr>
          <w:color w:val="000000"/>
        </w:rPr>
      </w:pPr>
      <w:r>
        <w:t>Sieć dróg gminnych na terenie Gminy wynosi 70 km 875 mb.  </w:t>
      </w:r>
      <w:r w:rsidRPr="007A5EAE">
        <w:rPr>
          <w:color w:val="000000"/>
        </w:rPr>
        <w:t xml:space="preserve">Z punktu widzenia infrastruktury transportowej istotne jest </w:t>
      </w:r>
      <w:r>
        <w:rPr>
          <w:color w:val="000000"/>
        </w:rPr>
        <w:t>także położenie Gminy w </w:t>
      </w:r>
      <w:r w:rsidRPr="007A5EAE">
        <w:rPr>
          <w:color w:val="000000"/>
        </w:rPr>
        <w:t>Przeworsko-Dynowskim Obszarze Wsparcia</w:t>
      </w:r>
      <w:r>
        <w:rPr>
          <w:color w:val="000000"/>
        </w:rPr>
        <w:t xml:space="preserve"> (PDOW).</w:t>
      </w:r>
    </w:p>
    <w:p w:rsidR="00497E4E" w:rsidRPr="00497E4E" w:rsidRDefault="00497E4E" w:rsidP="00497E4E">
      <w:pPr>
        <w:spacing w:before="240"/>
        <w:ind w:firstLine="851"/>
        <w:jc w:val="both"/>
      </w:pPr>
      <w:r w:rsidRPr="00497E4E">
        <w:t xml:space="preserve">Infrastruktura drogowa, choć generalnie znajduje się w dobrym stanie, stale wymaga nakładów – zarówno na utrzymanie, jak i remonty dróg gminnych i powiatowych. Niezbędne będą kolejne inwestycje poprawiające jakość i drożność komunikacji na terenie Gminy, w tym polegające na oświetlaniu dróg, budowie i remontach chodników, czy też miejsc parkingowych. </w:t>
      </w:r>
    </w:p>
    <w:p w:rsidR="00497E4E" w:rsidRPr="00497E4E" w:rsidRDefault="00497E4E" w:rsidP="00497E4E">
      <w:pPr>
        <w:spacing w:before="240"/>
        <w:ind w:firstLine="851"/>
        <w:jc w:val="both"/>
      </w:pPr>
      <w:r w:rsidRPr="00497E4E">
        <w:t xml:space="preserve">Położenie Gminy w osi szlaków komunikacyjnych jest z pewnością jej atutem. Gmina jest dobrze skomunikowana z ważniejszymi ośrodkami regionu, do tego w jej pobliżu przebiega trasa autostrady A4. Obecność lotniska w Jasionce koło Rzeszowa jest także elementem większego układu komunikacyjnego. W tym kontekście komunikacyjne atuty mogą być istotne dla osób pragnących </w:t>
      </w:r>
      <w:r w:rsidRPr="00497E4E">
        <w:lastRenderedPageBreak/>
        <w:t xml:space="preserve">osiedlić się na jej terenie, a zarazem dla potencjalnych przedsiębiorców poszukujących terenów inwestycyjnych w pobliżu dobrej infrastruktury transportowej.   </w:t>
      </w:r>
    </w:p>
    <w:p w:rsidR="00497E4E" w:rsidRDefault="00497E4E" w:rsidP="00497E4E">
      <w:pPr>
        <w:pStyle w:val="Nagwek3"/>
      </w:pPr>
      <w:bookmarkStart w:id="36" w:name="_Toc496558063"/>
      <w:r>
        <w:t>Infrastruktura komunalna</w:t>
      </w:r>
      <w:bookmarkEnd w:id="36"/>
    </w:p>
    <w:p w:rsidR="00497E4E" w:rsidRDefault="00497E4E" w:rsidP="00497E4E"/>
    <w:p w:rsidR="00497E4E" w:rsidRDefault="00497E4E" w:rsidP="00497E4E">
      <w:pPr>
        <w:jc w:val="both"/>
      </w:pPr>
      <w:r>
        <w:t>Do końca sierpnia 2015 roku na terenie Gminy działał Komunalny Zakład Budżetowy (KZB), którego przedmiotem działania była gospodarka komunalna obejmująca zadania o charakterze użyteczności publicznej. Celem wskazanych powyżej zadań było bieżące i nieprzerwane zaspokajanie zbiorowych potrzeb ludności w drodze świadczeń usług i rzeczy powszechnie dostępnych, a w szczególności:</w:t>
      </w:r>
    </w:p>
    <w:p w:rsidR="00497E4E" w:rsidRDefault="00497E4E" w:rsidP="00497E4E">
      <w:pPr>
        <w:pStyle w:val="Bezodstpw"/>
        <w:spacing w:line="276" w:lineRule="auto"/>
        <w:jc w:val="both"/>
      </w:pPr>
      <w:r>
        <w:t>•</w:t>
      </w:r>
      <w:r>
        <w:tab/>
        <w:t>Zbiorowe zaopatrzenie ludności w wodę;</w:t>
      </w:r>
    </w:p>
    <w:p w:rsidR="00497E4E" w:rsidRDefault="00497E4E" w:rsidP="00497E4E">
      <w:pPr>
        <w:pStyle w:val="Bezodstpw"/>
        <w:spacing w:line="276" w:lineRule="auto"/>
        <w:jc w:val="both"/>
      </w:pPr>
      <w:r>
        <w:t>•</w:t>
      </w:r>
      <w:r>
        <w:tab/>
        <w:t>Zbiorowe odprowadzenie ścieków;</w:t>
      </w:r>
    </w:p>
    <w:p w:rsidR="00497E4E" w:rsidRDefault="00497E4E" w:rsidP="00497E4E">
      <w:pPr>
        <w:pStyle w:val="Bezodstpw"/>
        <w:spacing w:line="276" w:lineRule="auto"/>
        <w:jc w:val="both"/>
      </w:pPr>
      <w:r>
        <w:t>•</w:t>
      </w:r>
      <w:r>
        <w:tab/>
        <w:t>Zaopatrzenie w energię cieplną budynków komunalnych i innych;</w:t>
      </w:r>
    </w:p>
    <w:p w:rsidR="00497E4E" w:rsidRDefault="00497E4E" w:rsidP="00497E4E">
      <w:pPr>
        <w:pStyle w:val="Bezodstpw"/>
        <w:spacing w:line="276" w:lineRule="auto"/>
        <w:jc w:val="both"/>
      </w:pPr>
      <w:r>
        <w:t>•</w:t>
      </w:r>
      <w:r>
        <w:tab/>
        <w:t>Utrzymanie porządku i czystości na terenie Gminy;</w:t>
      </w:r>
    </w:p>
    <w:p w:rsidR="00497E4E" w:rsidRDefault="00497E4E" w:rsidP="00497E4E">
      <w:pPr>
        <w:pStyle w:val="Bezodstpw"/>
        <w:spacing w:line="276" w:lineRule="auto"/>
        <w:jc w:val="both"/>
      </w:pPr>
      <w:r>
        <w:t>•</w:t>
      </w:r>
      <w:r>
        <w:tab/>
        <w:t>Utrzymanie zieleni na działkach komunalnych i przy drogach gminnych;</w:t>
      </w:r>
    </w:p>
    <w:p w:rsidR="00497E4E" w:rsidRDefault="00497E4E" w:rsidP="00497E4E">
      <w:pPr>
        <w:pStyle w:val="Bezodstpw"/>
        <w:spacing w:line="276" w:lineRule="auto"/>
        <w:jc w:val="both"/>
      </w:pPr>
      <w:r>
        <w:t>•</w:t>
      </w:r>
      <w:r>
        <w:tab/>
        <w:t>Utrzymanie gminnych obiektów użyteczności publicznej i obiektów administracyjnych;</w:t>
      </w:r>
    </w:p>
    <w:p w:rsidR="00497E4E" w:rsidRDefault="00497E4E" w:rsidP="00497E4E">
      <w:pPr>
        <w:pStyle w:val="Bezodstpw"/>
        <w:spacing w:line="276" w:lineRule="auto"/>
        <w:jc w:val="both"/>
      </w:pPr>
      <w:r>
        <w:t>•</w:t>
      </w:r>
      <w:r>
        <w:tab/>
        <w:t>Remonty i odśnieżanie dróg gminnych;</w:t>
      </w:r>
    </w:p>
    <w:p w:rsidR="00497E4E" w:rsidRDefault="00497E4E" w:rsidP="00497E4E">
      <w:pPr>
        <w:pStyle w:val="Bezodstpw"/>
        <w:spacing w:line="276" w:lineRule="auto"/>
        <w:jc w:val="both"/>
      </w:pPr>
      <w:r>
        <w:t>•</w:t>
      </w:r>
      <w:r>
        <w:tab/>
        <w:t>Inne zadania noszące znamiona użyteczności publicznej, zaspokajające zbiorowe potrzeby ludności.</w:t>
      </w:r>
    </w:p>
    <w:p w:rsidR="00497E4E" w:rsidRDefault="00497E4E" w:rsidP="00497E4E">
      <w:pPr>
        <w:jc w:val="both"/>
      </w:pPr>
    </w:p>
    <w:p w:rsidR="00497E4E" w:rsidRDefault="00497E4E" w:rsidP="00497E4E">
      <w:pPr>
        <w:ind w:firstLine="708"/>
        <w:jc w:val="both"/>
      </w:pPr>
      <w:r>
        <w:t>Uchwałą Rady Gminy Tryńcza nr VIII/75/2015 z 4 sierpnia 2015 roku KZB został przekształcony poprzez likwidację w spółkę komunalną działającą w formie prawnej spółki z o.o., która przejęła dotychczasowe zadania Zakładu Budżetowego. Nowy podmiot – Zakład Gospodarki Komunalnej Sp. z o.o w Tryńczy zacznie działalność od 1 stycznia 2016.</w:t>
      </w:r>
    </w:p>
    <w:p w:rsidR="00497E4E" w:rsidRDefault="00497E4E" w:rsidP="00497E4E">
      <w:pPr>
        <w:ind w:firstLine="708"/>
        <w:jc w:val="both"/>
      </w:pPr>
      <w:r>
        <w:t>Ostatnie przyniosły znaczącą poprawę w zakresie dostępności mieszkańców Gminy do infrastruktury wodociągowej, kanalizacyjnej oraz gazowniczej. Odsetek gospodarstw domowych korzystających z instalacji komunalnych jest obecnie bardzo wysoki, co pokazuje poniższy wykres.</w:t>
      </w:r>
    </w:p>
    <w:p w:rsidR="00497E4E" w:rsidRDefault="00497E4E" w:rsidP="00497E4E">
      <w:pPr>
        <w:pStyle w:val="Legenda"/>
      </w:pPr>
      <w:bookmarkStart w:id="37" w:name="_Toc495887826"/>
      <w:r>
        <w:t xml:space="preserve">Wykres </w:t>
      </w:r>
      <w:r w:rsidR="00172343">
        <w:fldChar w:fldCharType="begin"/>
      </w:r>
      <w:r w:rsidR="00172343">
        <w:instrText xml:space="preserve"> SEQ Wykres \* ARABIC </w:instrText>
      </w:r>
      <w:r w:rsidR="00172343">
        <w:fldChar w:fldCharType="separate"/>
      </w:r>
      <w:r w:rsidR="00A57C08">
        <w:rPr>
          <w:noProof/>
        </w:rPr>
        <w:t>12</w:t>
      </w:r>
      <w:r w:rsidR="00172343">
        <w:rPr>
          <w:noProof/>
        </w:rPr>
        <w:fldChar w:fldCharType="end"/>
      </w:r>
      <w:r>
        <w:t xml:space="preserve"> Korzystający z instalacji w procencie ogółu ludności gminy Tryńcza w latach 2010-2015</w:t>
      </w:r>
      <w:bookmarkEnd w:id="37"/>
    </w:p>
    <w:p w:rsidR="00497E4E" w:rsidRDefault="00497E4E" w:rsidP="00497E4E">
      <w:r>
        <w:rPr>
          <w:noProof/>
          <w:lang w:eastAsia="pl-PL"/>
        </w:rPr>
        <w:drawing>
          <wp:inline distT="0" distB="0" distL="0" distR="0" wp14:anchorId="581FCA90" wp14:editId="56AAE73A">
            <wp:extent cx="5760720" cy="2271583"/>
            <wp:effectExtent l="0" t="0" r="11430" b="14605"/>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97E4E" w:rsidRPr="00FB4E3B" w:rsidRDefault="00497E4E" w:rsidP="00497E4E">
      <w:pPr>
        <w:pStyle w:val="Legenda"/>
        <w:spacing w:line="276" w:lineRule="auto"/>
      </w:pPr>
      <w:r w:rsidRPr="00FB4E3B">
        <w:t>Źródło: Bank Danych Lokalnych GUS</w:t>
      </w:r>
    </w:p>
    <w:p w:rsidR="00301D51" w:rsidRPr="000D7BB5" w:rsidRDefault="00301D51" w:rsidP="00301D51">
      <w:pPr>
        <w:spacing w:after="100" w:afterAutospacing="1"/>
        <w:ind w:firstLine="851"/>
        <w:jc w:val="both"/>
      </w:pPr>
      <w:r w:rsidRPr="00217F20">
        <w:rPr>
          <w:color w:val="000000"/>
        </w:rPr>
        <w:lastRenderedPageBreak/>
        <w:t xml:space="preserve">Pod względem odsetka gospodarstw domowych podłączonych do sieci wodociągowej </w:t>
      </w:r>
      <w:r>
        <w:rPr>
          <w:color w:val="000000"/>
        </w:rPr>
        <w:t>sytuacja gminy bardzo się poprawiła, co ilustruje tabela powyżej</w:t>
      </w:r>
      <w:r w:rsidRPr="00217F20">
        <w:rPr>
          <w:color w:val="000000"/>
        </w:rPr>
        <w:t>.</w:t>
      </w:r>
      <w:r>
        <w:rPr>
          <w:color w:val="000000"/>
        </w:rPr>
        <w:t xml:space="preserve"> Gmina zainwestowała także w nowoczesną infrastrukturę dzięki modernizacji </w:t>
      </w:r>
      <w:r w:rsidRPr="00F05F1F">
        <w:t>Stacj</w:t>
      </w:r>
      <w:r>
        <w:t>i</w:t>
      </w:r>
      <w:r w:rsidRPr="00F05F1F">
        <w:t xml:space="preserve"> Uzdatniania Wody o wydajności Qh</w:t>
      </w:r>
      <w:r w:rsidRPr="00F05F1F">
        <w:rPr>
          <w:vertAlign w:val="subscript"/>
        </w:rPr>
        <w:t>max</w:t>
      </w:r>
      <w:r w:rsidRPr="00F05F1F">
        <w:t xml:space="preserve"> = 60 m</w:t>
      </w:r>
      <w:r w:rsidRPr="00F05F1F">
        <w:rPr>
          <w:vertAlign w:val="superscript"/>
        </w:rPr>
        <w:t>3</w:t>
      </w:r>
      <w:r w:rsidRPr="00F05F1F">
        <w:t xml:space="preserve">/h </w:t>
      </w:r>
      <w:r>
        <w:t xml:space="preserve">zlokalizowanej </w:t>
      </w:r>
      <w:r w:rsidRPr="00F05F1F">
        <w:t>w miejscowości Jagiełła</w:t>
      </w:r>
      <w:r>
        <w:t>, która zaopatruje w wodę całą G</w:t>
      </w:r>
      <w:r w:rsidRPr="00F05F1F">
        <w:t>minę. Automatyczna kontenerowa stacja uzdatniania wody (AKSUW) została wybudowana w rok</w:t>
      </w:r>
      <w:r>
        <w:t>u 1993 i zmodernizowana w 2015</w:t>
      </w:r>
      <w:r w:rsidRPr="00F05F1F">
        <w:t>.</w:t>
      </w:r>
    </w:p>
    <w:p w:rsidR="00301D51" w:rsidRDefault="00301D51" w:rsidP="00301D51">
      <w:pPr>
        <w:spacing w:before="100" w:beforeAutospacing="1" w:after="100" w:afterAutospacing="1"/>
        <w:ind w:firstLine="708"/>
        <w:jc w:val="both"/>
      </w:pPr>
      <w:r>
        <w:t>Całkowita długość linii wodociągowej w Gminie wynosi obecnie 101,6 km, z czego magistrala stanowi 8,4 km. Długość przyłączy wynosi 74,1 km, a ich łączna liczba to 2.254.</w:t>
      </w:r>
    </w:p>
    <w:p w:rsidR="00301D51" w:rsidRDefault="00301D51" w:rsidP="00301D51">
      <w:pPr>
        <w:pStyle w:val="Legenda"/>
      </w:pPr>
      <w:bookmarkStart w:id="38" w:name="_Toc495887794"/>
      <w:r>
        <w:t xml:space="preserve">Tabela </w:t>
      </w:r>
      <w:r w:rsidR="00172343">
        <w:fldChar w:fldCharType="begin"/>
      </w:r>
      <w:r w:rsidR="00172343">
        <w:instrText xml:space="preserve"> SEQ Tabela \* ARABIC </w:instrText>
      </w:r>
      <w:r w:rsidR="00172343">
        <w:fldChar w:fldCharType="separate"/>
      </w:r>
      <w:r w:rsidR="00D67FEC">
        <w:rPr>
          <w:noProof/>
        </w:rPr>
        <w:t>5</w:t>
      </w:r>
      <w:r w:rsidR="00172343">
        <w:rPr>
          <w:noProof/>
        </w:rPr>
        <w:fldChar w:fldCharType="end"/>
      </w:r>
      <w:r>
        <w:t xml:space="preserve">  </w:t>
      </w:r>
      <w:r w:rsidRPr="00301D51">
        <w:t>Długość linii wodociągowej w Gminie Tryńcza. Stan na 31.08.2015 (oprac. wł. na podstawie danych UG)</w:t>
      </w:r>
      <w:bookmarkEnd w:id="38"/>
    </w:p>
    <w:tbl>
      <w:tblPr>
        <w:tblStyle w:val="Tabelasiatki5ciemnaakcent32"/>
        <w:tblW w:w="0" w:type="auto"/>
        <w:tblLook w:val="04A0" w:firstRow="1" w:lastRow="0" w:firstColumn="1" w:lastColumn="0" w:noHBand="0" w:noVBand="1"/>
      </w:tblPr>
      <w:tblGrid>
        <w:gridCol w:w="858"/>
        <w:gridCol w:w="2471"/>
        <w:gridCol w:w="2360"/>
        <w:gridCol w:w="1625"/>
        <w:gridCol w:w="1746"/>
      </w:tblGrid>
      <w:tr w:rsidR="00301D51" w:rsidRPr="00301D51" w:rsidTr="00195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dxa"/>
          </w:tcPr>
          <w:p w:rsidR="00301D51" w:rsidRPr="00301D51" w:rsidRDefault="00301D51" w:rsidP="00010686">
            <w:pPr>
              <w:jc w:val="center"/>
              <w:rPr>
                <w:rFonts w:asciiTheme="minorHAnsi" w:hAnsiTheme="minorHAnsi" w:cstheme="minorHAnsi"/>
                <w:b w:val="0"/>
              </w:rPr>
            </w:pPr>
            <w:r w:rsidRPr="00301D51">
              <w:rPr>
                <w:rFonts w:asciiTheme="minorHAnsi" w:hAnsiTheme="minorHAnsi" w:cstheme="minorHAnsi"/>
              </w:rPr>
              <w:t>L.p.</w:t>
            </w:r>
          </w:p>
        </w:tc>
        <w:tc>
          <w:tcPr>
            <w:tcW w:w="2471" w:type="dxa"/>
          </w:tcPr>
          <w:p w:rsidR="00301D51" w:rsidRPr="00301D51" w:rsidRDefault="00301D51" w:rsidP="0001068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301D51">
              <w:rPr>
                <w:rFonts w:asciiTheme="minorHAnsi" w:hAnsiTheme="minorHAnsi" w:cstheme="minorHAnsi"/>
              </w:rPr>
              <w:t>Sołectwo/wieś</w:t>
            </w:r>
          </w:p>
        </w:tc>
        <w:tc>
          <w:tcPr>
            <w:tcW w:w="2360" w:type="dxa"/>
          </w:tcPr>
          <w:p w:rsidR="00301D51" w:rsidRPr="00301D51" w:rsidRDefault="00301D51" w:rsidP="0001068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301D51">
              <w:rPr>
                <w:rFonts w:asciiTheme="minorHAnsi" w:hAnsiTheme="minorHAnsi" w:cstheme="minorHAnsi"/>
              </w:rPr>
              <w:t>Długość linii (km)</w:t>
            </w:r>
          </w:p>
        </w:tc>
        <w:tc>
          <w:tcPr>
            <w:tcW w:w="1625" w:type="dxa"/>
          </w:tcPr>
          <w:p w:rsidR="00301D51" w:rsidRPr="00301D51" w:rsidRDefault="00301D51" w:rsidP="0001068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301D51">
              <w:rPr>
                <w:rFonts w:asciiTheme="minorHAnsi" w:hAnsiTheme="minorHAnsi" w:cstheme="minorHAnsi"/>
              </w:rPr>
              <w:t>Długość przyłączy (km)</w:t>
            </w:r>
          </w:p>
        </w:tc>
        <w:tc>
          <w:tcPr>
            <w:tcW w:w="1746" w:type="dxa"/>
          </w:tcPr>
          <w:p w:rsidR="00301D51" w:rsidRPr="00301D51" w:rsidRDefault="00301D51" w:rsidP="0001068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301D51">
              <w:rPr>
                <w:rFonts w:asciiTheme="minorHAnsi" w:hAnsiTheme="minorHAnsi" w:cstheme="minorHAnsi"/>
              </w:rPr>
              <w:t>Ilość przyłączy (szt.)</w:t>
            </w:r>
          </w:p>
        </w:tc>
      </w:tr>
      <w:tr w:rsidR="00301D51" w:rsidRPr="00301D51"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dxa"/>
          </w:tcPr>
          <w:p w:rsidR="00301D51" w:rsidRPr="00301D51" w:rsidRDefault="00301D51" w:rsidP="00301D51">
            <w:pPr>
              <w:pStyle w:val="Akapitzlist"/>
              <w:numPr>
                <w:ilvl w:val="0"/>
                <w:numId w:val="8"/>
              </w:numPr>
              <w:rPr>
                <w:rFonts w:asciiTheme="minorHAnsi" w:hAnsiTheme="minorHAnsi" w:cstheme="minorHAnsi"/>
              </w:rPr>
            </w:pPr>
          </w:p>
        </w:tc>
        <w:tc>
          <w:tcPr>
            <w:tcW w:w="2471" w:type="dxa"/>
          </w:tcPr>
          <w:p w:rsidR="00301D51" w:rsidRPr="00301D51" w:rsidRDefault="00301D51" w:rsidP="00010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Głogowiec</w:t>
            </w:r>
          </w:p>
        </w:tc>
        <w:tc>
          <w:tcPr>
            <w:tcW w:w="2360"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7,9</w:t>
            </w:r>
          </w:p>
        </w:tc>
        <w:tc>
          <w:tcPr>
            <w:tcW w:w="1625"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3,5</w:t>
            </w:r>
          </w:p>
        </w:tc>
        <w:tc>
          <w:tcPr>
            <w:tcW w:w="1746"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96</w:t>
            </w:r>
          </w:p>
        </w:tc>
      </w:tr>
      <w:tr w:rsidR="00301D51" w:rsidRPr="00301D51" w:rsidTr="001957AA">
        <w:tc>
          <w:tcPr>
            <w:cnfStyle w:val="001000000000" w:firstRow="0" w:lastRow="0" w:firstColumn="1" w:lastColumn="0" w:oddVBand="0" w:evenVBand="0" w:oddHBand="0" w:evenHBand="0" w:firstRowFirstColumn="0" w:firstRowLastColumn="0" w:lastRowFirstColumn="0" w:lastRowLastColumn="0"/>
            <w:tcW w:w="858" w:type="dxa"/>
          </w:tcPr>
          <w:p w:rsidR="00301D51" w:rsidRPr="00301D51" w:rsidRDefault="00301D51" w:rsidP="00301D51">
            <w:pPr>
              <w:pStyle w:val="Akapitzlist"/>
              <w:numPr>
                <w:ilvl w:val="0"/>
                <w:numId w:val="8"/>
              </w:numPr>
              <w:rPr>
                <w:rFonts w:asciiTheme="minorHAnsi" w:hAnsiTheme="minorHAnsi" w:cstheme="minorHAnsi"/>
              </w:rPr>
            </w:pPr>
          </w:p>
        </w:tc>
        <w:tc>
          <w:tcPr>
            <w:tcW w:w="2471" w:type="dxa"/>
          </w:tcPr>
          <w:p w:rsidR="00301D51" w:rsidRPr="00301D51" w:rsidRDefault="00301D51" w:rsidP="00010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Gniewczyna Łańcucka</w:t>
            </w:r>
          </w:p>
        </w:tc>
        <w:tc>
          <w:tcPr>
            <w:tcW w:w="2360"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23,00</w:t>
            </w:r>
          </w:p>
        </w:tc>
        <w:tc>
          <w:tcPr>
            <w:tcW w:w="1625"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16,3</w:t>
            </w:r>
          </w:p>
        </w:tc>
        <w:tc>
          <w:tcPr>
            <w:tcW w:w="1746"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568</w:t>
            </w:r>
          </w:p>
        </w:tc>
      </w:tr>
      <w:tr w:rsidR="00301D51" w:rsidRPr="00301D51"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dxa"/>
          </w:tcPr>
          <w:p w:rsidR="00301D51" w:rsidRPr="00301D51" w:rsidRDefault="00301D51" w:rsidP="00301D51">
            <w:pPr>
              <w:pStyle w:val="Akapitzlist"/>
              <w:numPr>
                <w:ilvl w:val="0"/>
                <w:numId w:val="8"/>
              </w:numPr>
              <w:rPr>
                <w:rFonts w:asciiTheme="minorHAnsi" w:hAnsiTheme="minorHAnsi" w:cstheme="minorHAnsi"/>
              </w:rPr>
            </w:pPr>
          </w:p>
        </w:tc>
        <w:tc>
          <w:tcPr>
            <w:tcW w:w="2471" w:type="dxa"/>
          </w:tcPr>
          <w:p w:rsidR="00301D51" w:rsidRPr="00301D51" w:rsidRDefault="00301D51" w:rsidP="00010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Gniewczyna Tryniecka</w:t>
            </w:r>
          </w:p>
        </w:tc>
        <w:tc>
          <w:tcPr>
            <w:tcW w:w="2360"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11,6 (magistrala 3,5)</w:t>
            </w:r>
          </w:p>
        </w:tc>
        <w:tc>
          <w:tcPr>
            <w:tcW w:w="1625"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7,6</w:t>
            </w:r>
          </w:p>
        </w:tc>
        <w:tc>
          <w:tcPr>
            <w:tcW w:w="1746"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220</w:t>
            </w:r>
          </w:p>
        </w:tc>
      </w:tr>
      <w:tr w:rsidR="00301D51" w:rsidRPr="00301D51" w:rsidTr="001957AA">
        <w:tc>
          <w:tcPr>
            <w:cnfStyle w:val="001000000000" w:firstRow="0" w:lastRow="0" w:firstColumn="1" w:lastColumn="0" w:oddVBand="0" w:evenVBand="0" w:oddHBand="0" w:evenHBand="0" w:firstRowFirstColumn="0" w:firstRowLastColumn="0" w:lastRowFirstColumn="0" w:lastRowLastColumn="0"/>
            <w:tcW w:w="858" w:type="dxa"/>
          </w:tcPr>
          <w:p w:rsidR="00301D51" w:rsidRPr="00301D51" w:rsidRDefault="00301D51" w:rsidP="00301D51">
            <w:pPr>
              <w:pStyle w:val="Akapitzlist"/>
              <w:numPr>
                <w:ilvl w:val="0"/>
                <w:numId w:val="8"/>
              </w:numPr>
              <w:rPr>
                <w:rFonts w:asciiTheme="minorHAnsi" w:hAnsiTheme="minorHAnsi" w:cstheme="minorHAnsi"/>
              </w:rPr>
            </w:pPr>
          </w:p>
        </w:tc>
        <w:tc>
          <w:tcPr>
            <w:tcW w:w="2471" w:type="dxa"/>
          </w:tcPr>
          <w:p w:rsidR="00301D51" w:rsidRPr="00301D51" w:rsidRDefault="00301D51" w:rsidP="00010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Gorzyce</w:t>
            </w:r>
          </w:p>
        </w:tc>
        <w:tc>
          <w:tcPr>
            <w:tcW w:w="2360"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14,9</w:t>
            </w:r>
          </w:p>
        </w:tc>
        <w:tc>
          <w:tcPr>
            <w:tcW w:w="1625"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11,1</w:t>
            </w:r>
          </w:p>
        </w:tc>
        <w:tc>
          <w:tcPr>
            <w:tcW w:w="1746"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313</w:t>
            </w:r>
          </w:p>
        </w:tc>
      </w:tr>
      <w:tr w:rsidR="00301D51" w:rsidRPr="00301D51"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dxa"/>
          </w:tcPr>
          <w:p w:rsidR="00301D51" w:rsidRPr="00301D51" w:rsidRDefault="00301D51" w:rsidP="00301D51">
            <w:pPr>
              <w:pStyle w:val="Akapitzlist"/>
              <w:numPr>
                <w:ilvl w:val="0"/>
                <w:numId w:val="8"/>
              </w:numPr>
              <w:rPr>
                <w:rFonts w:asciiTheme="minorHAnsi" w:hAnsiTheme="minorHAnsi" w:cstheme="minorHAnsi"/>
              </w:rPr>
            </w:pPr>
          </w:p>
        </w:tc>
        <w:tc>
          <w:tcPr>
            <w:tcW w:w="2471" w:type="dxa"/>
          </w:tcPr>
          <w:p w:rsidR="00301D51" w:rsidRPr="00301D51" w:rsidRDefault="00301D51" w:rsidP="00010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Jagiełła</w:t>
            </w:r>
          </w:p>
        </w:tc>
        <w:tc>
          <w:tcPr>
            <w:tcW w:w="2360"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13,7</w:t>
            </w:r>
          </w:p>
        </w:tc>
        <w:tc>
          <w:tcPr>
            <w:tcW w:w="1625"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9,7</w:t>
            </w:r>
          </w:p>
        </w:tc>
        <w:tc>
          <w:tcPr>
            <w:tcW w:w="1746"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303</w:t>
            </w:r>
          </w:p>
        </w:tc>
      </w:tr>
      <w:tr w:rsidR="00301D51" w:rsidRPr="00301D51" w:rsidTr="001957AA">
        <w:tc>
          <w:tcPr>
            <w:cnfStyle w:val="001000000000" w:firstRow="0" w:lastRow="0" w:firstColumn="1" w:lastColumn="0" w:oddVBand="0" w:evenVBand="0" w:oddHBand="0" w:evenHBand="0" w:firstRowFirstColumn="0" w:firstRowLastColumn="0" w:lastRowFirstColumn="0" w:lastRowLastColumn="0"/>
            <w:tcW w:w="858" w:type="dxa"/>
          </w:tcPr>
          <w:p w:rsidR="00301D51" w:rsidRPr="00301D51" w:rsidRDefault="00301D51" w:rsidP="00301D51">
            <w:pPr>
              <w:pStyle w:val="Akapitzlist"/>
              <w:numPr>
                <w:ilvl w:val="0"/>
                <w:numId w:val="8"/>
              </w:numPr>
              <w:rPr>
                <w:rFonts w:asciiTheme="minorHAnsi" w:hAnsiTheme="minorHAnsi" w:cstheme="minorHAnsi"/>
              </w:rPr>
            </w:pPr>
          </w:p>
        </w:tc>
        <w:tc>
          <w:tcPr>
            <w:tcW w:w="2471" w:type="dxa"/>
          </w:tcPr>
          <w:p w:rsidR="00301D51" w:rsidRPr="00301D51" w:rsidRDefault="00301D51" w:rsidP="00010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Tryńcza</w:t>
            </w:r>
          </w:p>
        </w:tc>
        <w:tc>
          <w:tcPr>
            <w:tcW w:w="2360"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15,6 (magistrala 4,9)</w:t>
            </w:r>
          </w:p>
        </w:tc>
        <w:tc>
          <w:tcPr>
            <w:tcW w:w="1625"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13,8</w:t>
            </w:r>
          </w:p>
        </w:tc>
        <w:tc>
          <w:tcPr>
            <w:tcW w:w="1746"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396</w:t>
            </w:r>
          </w:p>
        </w:tc>
      </w:tr>
      <w:tr w:rsidR="00301D51" w:rsidRPr="00301D51"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dxa"/>
          </w:tcPr>
          <w:p w:rsidR="00301D51" w:rsidRPr="00301D51" w:rsidRDefault="00301D51" w:rsidP="00301D51">
            <w:pPr>
              <w:pStyle w:val="Akapitzlist"/>
              <w:numPr>
                <w:ilvl w:val="0"/>
                <w:numId w:val="8"/>
              </w:numPr>
              <w:rPr>
                <w:rFonts w:asciiTheme="minorHAnsi" w:hAnsiTheme="minorHAnsi" w:cstheme="minorHAnsi"/>
              </w:rPr>
            </w:pPr>
          </w:p>
        </w:tc>
        <w:tc>
          <w:tcPr>
            <w:tcW w:w="2471" w:type="dxa"/>
          </w:tcPr>
          <w:p w:rsidR="00301D51" w:rsidRPr="00301D51" w:rsidRDefault="00301D51" w:rsidP="00010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Ubieszyn</w:t>
            </w:r>
          </w:p>
        </w:tc>
        <w:tc>
          <w:tcPr>
            <w:tcW w:w="2360"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9,1</w:t>
            </w:r>
          </w:p>
        </w:tc>
        <w:tc>
          <w:tcPr>
            <w:tcW w:w="1625"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7,2</w:t>
            </w:r>
          </w:p>
        </w:tc>
        <w:tc>
          <w:tcPr>
            <w:tcW w:w="1746"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197</w:t>
            </w:r>
          </w:p>
        </w:tc>
      </w:tr>
      <w:tr w:rsidR="00301D51" w:rsidRPr="00301D51" w:rsidTr="001957AA">
        <w:tc>
          <w:tcPr>
            <w:cnfStyle w:val="001000000000" w:firstRow="0" w:lastRow="0" w:firstColumn="1" w:lastColumn="0" w:oddVBand="0" w:evenVBand="0" w:oddHBand="0" w:evenHBand="0" w:firstRowFirstColumn="0" w:firstRowLastColumn="0" w:lastRowFirstColumn="0" w:lastRowLastColumn="0"/>
            <w:tcW w:w="858" w:type="dxa"/>
          </w:tcPr>
          <w:p w:rsidR="00301D51" w:rsidRPr="00301D51" w:rsidRDefault="00301D51" w:rsidP="00301D51">
            <w:pPr>
              <w:pStyle w:val="Akapitzlist"/>
              <w:numPr>
                <w:ilvl w:val="0"/>
                <w:numId w:val="8"/>
              </w:numPr>
              <w:rPr>
                <w:rFonts w:asciiTheme="minorHAnsi" w:hAnsiTheme="minorHAnsi" w:cstheme="minorHAnsi"/>
              </w:rPr>
            </w:pPr>
          </w:p>
        </w:tc>
        <w:tc>
          <w:tcPr>
            <w:tcW w:w="2471" w:type="dxa"/>
          </w:tcPr>
          <w:p w:rsidR="00301D51" w:rsidRPr="00301D51" w:rsidRDefault="00301D51" w:rsidP="00010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Wólka Małkowa</w:t>
            </w:r>
          </w:p>
        </w:tc>
        <w:tc>
          <w:tcPr>
            <w:tcW w:w="2360"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3,5</w:t>
            </w:r>
          </w:p>
        </w:tc>
        <w:tc>
          <w:tcPr>
            <w:tcW w:w="1625"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3,2</w:t>
            </w:r>
          </w:p>
        </w:tc>
        <w:tc>
          <w:tcPr>
            <w:tcW w:w="1746"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90</w:t>
            </w:r>
          </w:p>
        </w:tc>
      </w:tr>
      <w:tr w:rsidR="00301D51" w:rsidRPr="00301D51"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dxa"/>
          </w:tcPr>
          <w:p w:rsidR="00301D51" w:rsidRPr="00301D51" w:rsidRDefault="00301D51" w:rsidP="00301D51">
            <w:pPr>
              <w:pStyle w:val="Akapitzlist"/>
              <w:numPr>
                <w:ilvl w:val="0"/>
                <w:numId w:val="8"/>
              </w:numPr>
              <w:rPr>
                <w:rFonts w:asciiTheme="minorHAnsi" w:hAnsiTheme="minorHAnsi" w:cstheme="minorHAnsi"/>
              </w:rPr>
            </w:pPr>
          </w:p>
        </w:tc>
        <w:tc>
          <w:tcPr>
            <w:tcW w:w="2471" w:type="dxa"/>
          </w:tcPr>
          <w:p w:rsidR="00301D51" w:rsidRPr="00301D51" w:rsidRDefault="00301D51" w:rsidP="00010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Wólka Ogryzkowa</w:t>
            </w:r>
          </w:p>
        </w:tc>
        <w:tc>
          <w:tcPr>
            <w:tcW w:w="2360"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2,3</w:t>
            </w:r>
          </w:p>
        </w:tc>
        <w:tc>
          <w:tcPr>
            <w:tcW w:w="1625"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1,7</w:t>
            </w:r>
          </w:p>
        </w:tc>
        <w:tc>
          <w:tcPr>
            <w:tcW w:w="1746"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71</w:t>
            </w:r>
          </w:p>
        </w:tc>
      </w:tr>
      <w:tr w:rsidR="00301D51" w:rsidRPr="00301D51" w:rsidTr="001957AA">
        <w:tc>
          <w:tcPr>
            <w:cnfStyle w:val="001000000000" w:firstRow="0" w:lastRow="0" w:firstColumn="1" w:lastColumn="0" w:oddVBand="0" w:evenVBand="0" w:oddHBand="0" w:evenHBand="0" w:firstRowFirstColumn="0" w:firstRowLastColumn="0" w:lastRowFirstColumn="0" w:lastRowLastColumn="0"/>
            <w:tcW w:w="3329" w:type="dxa"/>
            <w:gridSpan w:val="2"/>
          </w:tcPr>
          <w:p w:rsidR="00301D51" w:rsidRPr="00301D51" w:rsidRDefault="00301D51" w:rsidP="00010686">
            <w:pPr>
              <w:rPr>
                <w:rFonts w:asciiTheme="minorHAnsi" w:hAnsiTheme="minorHAnsi" w:cstheme="minorHAnsi"/>
                <w:b w:val="0"/>
              </w:rPr>
            </w:pPr>
            <w:r w:rsidRPr="00301D51">
              <w:rPr>
                <w:rFonts w:asciiTheme="minorHAnsi" w:hAnsiTheme="minorHAnsi" w:cstheme="minorHAnsi"/>
              </w:rPr>
              <w:t>Razem:</w:t>
            </w:r>
          </w:p>
        </w:tc>
        <w:tc>
          <w:tcPr>
            <w:tcW w:w="2360"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01D51">
              <w:rPr>
                <w:rFonts w:asciiTheme="minorHAnsi" w:hAnsiTheme="minorHAnsi" w:cstheme="minorHAnsi"/>
                <w:b/>
              </w:rPr>
              <w:t xml:space="preserve">101,60 </w:t>
            </w:r>
          </w:p>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01D51">
              <w:rPr>
                <w:rFonts w:asciiTheme="minorHAnsi" w:hAnsiTheme="minorHAnsi" w:cstheme="minorHAnsi"/>
                <w:b/>
              </w:rPr>
              <w:t>(magistrala 8,40)</w:t>
            </w:r>
          </w:p>
        </w:tc>
        <w:tc>
          <w:tcPr>
            <w:tcW w:w="1625"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01D51">
              <w:rPr>
                <w:rFonts w:asciiTheme="minorHAnsi" w:hAnsiTheme="minorHAnsi" w:cstheme="minorHAnsi"/>
                <w:b/>
              </w:rPr>
              <w:t>74,10</w:t>
            </w:r>
          </w:p>
        </w:tc>
        <w:tc>
          <w:tcPr>
            <w:tcW w:w="1746"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01D51">
              <w:rPr>
                <w:rFonts w:asciiTheme="minorHAnsi" w:hAnsiTheme="minorHAnsi" w:cstheme="minorHAnsi"/>
                <w:b/>
              </w:rPr>
              <w:t>2 254</w:t>
            </w:r>
          </w:p>
        </w:tc>
      </w:tr>
    </w:tbl>
    <w:p w:rsidR="00301D51" w:rsidRPr="00301D51" w:rsidRDefault="00301D51" w:rsidP="00301D51">
      <w:pPr>
        <w:pStyle w:val="Legenda"/>
      </w:pPr>
      <w:r>
        <w:t xml:space="preserve">Źródło: Strategia Rozwoju Gminy Tryńcza na lata 2016-2020 </w:t>
      </w:r>
    </w:p>
    <w:p w:rsidR="00301D51" w:rsidRPr="009A1283" w:rsidRDefault="00301D51" w:rsidP="00301D51">
      <w:pPr>
        <w:spacing w:before="240" w:after="100" w:afterAutospacing="1"/>
        <w:ind w:firstLine="851"/>
        <w:jc w:val="both"/>
        <w:rPr>
          <w:color w:val="000000"/>
        </w:rPr>
      </w:pPr>
      <w:r>
        <w:rPr>
          <w:color w:val="000000"/>
        </w:rPr>
        <w:t>D</w:t>
      </w:r>
      <w:r w:rsidRPr="00EA7B43">
        <w:rPr>
          <w:color w:val="000000"/>
        </w:rPr>
        <w:t xml:space="preserve">ostępu gospodarstw do sieci kanalizacyjnej </w:t>
      </w:r>
      <w:r>
        <w:rPr>
          <w:color w:val="000000"/>
        </w:rPr>
        <w:t>zapewnia o</w:t>
      </w:r>
      <w:r w:rsidRPr="00906A54">
        <w:rPr>
          <w:color w:val="000000"/>
        </w:rPr>
        <w:t xml:space="preserve">czyszczalnia ścieków </w:t>
      </w:r>
      <w:r>
        <w:rPr>
          <w:color w:val="000000"/>
        </w:rPr>
        <w:br/>
      </w:r>
      <w:r w:rsidRPr="00906A54">
        <w:rPr>
          <w:color w:val="000000"/>
        </w:rPr>
        <w:t>o średniej dobowej przepustowości Q</w:t>
      </w:r>
      <w:r w:rsidRPr="00906A54">
        <w:rPr>
          <w:color w:val="000000"/>
          <w:vertAlign w:val="subscript"/>
        </w:rPr>
        <w:t>dśr</w:t>
      </w:r>
      <w:r w:rsidRPr="00906A54">
        <w:rPr>
          <w:color w:val="000000"/>
        </w:rPr>
        <w:t xml:space="preserve"> = 480 m</w:t>
      </w:r>
      <w:r w:rsidRPr="00906A54">
        <w:rPr>
          <w:color w:val="000000"/>
          <w:vertAlign w:val="superscript"/>
        </w:rPr>
        <w:t>3</w:t>
      </w:r>
      <w:r w:rsidRPr="00906A54">
        <w:rPr>
          <w:color w:val="000000"/>
        </w:rPr>
        <w:t>/d</w:t>
      </w:r>
      <w:r>
        <w:rPr>
          <w:color w:val="000000"/>
        </w:rPr>
        <w:t>,</w:t>
      </w:r>
      <w:r w:rsidRPr="00906A54">
        <w:rPr>
          <w:color w:val="000000"/>
        </w:rPr>
        <w:t xml:space="preserve">  odbierająca ścieki z terenu c</w:t>
      </w:r>
      <w:r>
        <w:rPr>
          <w:color w:val="000000"/>
        </w:rPr>
        <w:t>ałej Gminy. Wybudowana została w 2001 roku, a</w:t>
      </w:r>
      <w:r w:rsidRPr="00906A54">
        <w:rPr>
          <w:color w:val="000000"/>
        </w:rPr>
        <w:t xml:space="preserve"> w chwili obecnej opracowyw</w:t>
      </w:r>
      <w:r>
        <w:rPr>
          <w:color w:val="000000"/>
        </w:rPr>
        <w:t>any jest projekt modernizacji i r</w:t>
      </w:r>
      <w:r w:rsidRPr="00906A54">
        <w:rPr>
          <w:color w:val="000000"/>
        </w:rPr>
        <w:t>ozbudowy oczyszczalni na przepływ średni dobowy Q</w:t>
      </w:r>
      <w:r w:rsidRPr="00906A54">
        <w:rPr>
          <w:color w:val="000000"/>
          <w:vertAlign w:val="subscript"/>
        </w:rPr>
        <w:t>dśr</w:t>
      </w:r>
      <w:r w:rsidRPr="00906A54">
        <w:rPr>
          <w:color w:val="000000"/>
        </w:rPr>
        <w:t xml:space="preserve"> = 704 m</w:t>
      </w:r>
      <w:r w:rsidRPr="00906A54">
        <w:rPr>
          <w:color w:val="000000"/>
          <w:vertAlign w:val="superscript"/>
        </w:rPr>
        <w:t>3</w:t>
      </w:r>
      <w:r w:rsidRPr="00906A54">
        <w:rPr>
          <w:color w:val="000000"/>
        </w:rPr>
        <w:t>/d</w:t>
      </w:r>
    </w:p>
    <w:p w:rsidR="00301D51" w:rsidRDefault="00301D51" w:rsidP="00301D51">
      <w:pPr>
        <w:spacing w:before="240"/>
        <w:ind w:firstLine="708"/>
        <w:jc w:val="both"/>
        <w:rPr>
          <w:color w:val="000000"/>
        </w:rPr>
      </w:pPr>
      <w:r>
        <w:t>Całkowita długość linii kanalizacyjnej w Gminie wynosi obecnie 187,6 km, długość przyłączy wynosi 28,6 km, a ich łączna liczba to 1.920. Dane te w sposób szczegółowy ilustruje poniższa tabela</w:t>
      </w:r>
      <w:r w:rsidRPr="00906A54">
        <w:rPr>
          <w:color w:val="000000"/>
        </w:rPr>
        <w:t>.</w:t>
      </w:r>
    </w:p>
    <w:p w:rsidR="00301D51" w:rsidRDefault="00301D51" w:rsidP="00301D51">
      <w:pPr>
        <w:pStyle w:val="Legenda"/>
      </w:pPr>
      <w:bookmarkStart w:id="39" w:name="_Toc495887795"/>
      <w:r>
        <w:t xml:space="preserve">Tabela </w:t>
      </w:r>
      <w:r w:rsidR="00172343">
        <w:fldChar w:fldCharType="begin"/>
      </w:r>
      <w:r w:rsidR="00172343">
        <w:instrText xml:space="preserve"> SEQ Tabela \* ARABIC </w:instrText>
      </w:r>
      <w:r w:rsidR="00172343">
        <w:fldChar w:fldCharType="separate"/>
      </w:r>
      <w:r w:rsidR="00D67FEC">
        <w:rPr>
          <w:noProof/>
        </w:rPr>
        <w:t>6</w:t>
      </w:r>
      <w:r w:rsidR="00172343">
        <w:rPr>
          <w:noProof/>
        </w:rPr>
        <w:fldChar w:fldCharType="end"/>
      </w:r>
      <w:r>
        <w:t xml:space="preserve"> </w:t>
      </w:r>
      <w:r w:rsidRPr="0093294D">
        <w:t xml:space="preserve">Długość  sieci kanalizacyjnej w Gminie </w:t>
      </w:r>
      <w:r>
        <w:t>Tryńcza</w:t>
      </w:r>
      <w:r w:rsidRPr="0093294D">
        <w:t xml:space="preserve"> . Stan na </w:t>
      </w:r>
      <w:r>
        <w:t>31.08.2015</w:t>
      </w:r>
      <w:r w:rsidRPr="0093294D">
        <w:t xml:space="preserve"> (o</w:t>
      </w:r>
      <w:r>
        <w:t>prac. wł. na podstawie danych UG</w:t>
      </w:r>
      <w:r w:rsidRPr="0093294D">
        <w:t>)</w:t>
      </w:r>
      <w:bookmarkEnd w:id="39"/>
    </w:p>
    <w:tbl>
      <w:tblPr>
        <w:tblStyle w:val="Tabelasiatki5ciemnaakcent32"/>
        <w:tblW w:w="0" w:type="auto"/>
        <w:tblLook w:val="04A0" w:firstRow="1" w:lastRow="0" w:firstColumn="1" w:lastColumn="0" w:noHBand="0" w:noVBand="1"/>
      </w:tblPr>
      <w:tblGrid>
        <w:gridCol w:w="723"/>
        <w:gridCol w:w="2539"/>
        <w:gridCol w:w="2011"/>
        <w:gridCol w:w="2048"/>
        <w:gridCol w:w="1739"/>
      </w:tblGrid>
      <w:tr w:rsidR="00301D51" w:rsidRPr="00301D51" w:rsidTr="00195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301D51" w:rsidRPr="00301D51" w:rsidRDefault="00301D51" w:rsidP="00010686">
            <w:pPr>
              <w:jc w:val="center"/>
              <w:rPr>
                <w:rFonts w:asciiTheme="minorHAnsi" w:hAnsiTheme="minorHAnsi" w:cstheme="minorHAnsi"/>
                <w:b w:val="0"/>
              </w:rPr>
            </w:pPr>
            <w:r w:rsidRPr="00301D51">
              <w:rPr>
                <w:rFonts w:asciiTheme="minorHAnsi" w:hAnsiTheme="minorHAnsi" w:cstheme="minorHAnsi"/>
              </w:rPr>
              <w:t>L.p.</w:t>
            </w:r>
          </w:p>
        </w:tc>
        <w:tc>
          <w:tcPr>
            <w:tcW w:w="2539" w:type="dxa"/>
          </w:tcPr>
          <w:p w:rsidR="00301D51" w:rsidRPr="00301D51" w:rsidRDefault="00301D51" w:rsidP="0001068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301D51">
              <w:rPr>
                <w:rFonts w:asciiTheme="minorHAnsi" w:hAnsiTheme="minorHAnsi" w:cstheme="minorHAnsi"/>
              </w:rPr>
              <w:t>Sołectwo/wieś</w:t>
            </w:r>
          </w:p>
        </w:tc>
        <w:tc>
          <w:tcPr>
            <w:tcW w:w="2011" w:type="dxa"/>
          </w:tcPr>
          <w:p w:rsidR="00301D51" w:rsidRPr="00301D51" w:rsidRDefault="00301D51" w:rsidP="0001068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301D51">
              <w:rPr>
                <w:rFonts w:asciiTheme="minorHAnsi" w:hAnsiTheme="minorHAnsi" w:cstheme="minorHAnsi"/>
              </w:rPr>
              <w:t>Długość linii (km)</w:t>
            </w:r>
          </w:p>
        </w:tc>
        <w:tc>
          <w:tcPr>
            <w:tcW w:w="2048" w:type="dxa"/>
          </w:tcPr>
          <w:p w:rsidR="00301D51" w:rsidRPr="00301D51" w:rsidRDefault="00301D51" w:rsidP="0001068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301D51">
              <w:rPr>
                <w:rFonts w:asciiTheme="minorHAnsi" w:hAnsiTheme="minorHAnsi" w:cstheme="minorHAnsi"/>
              </w:rPr>
              <w:t>Długość przyłączy (km)</w:t>
            </w:r>
          </w:p>
        </w:tc>
        <w:tc>
          <w:tcPr>
            <w:tcW w:w="1739" w:type="dxa"/>
          </w:tcPr>
          <w:p w:rsidR="00301D51" w:rsidRPr="00301D51" w:rsidRDefault="00301D51" w:rsidP="0001068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301D51">
              <w:rPr>
                <w:rFonts w:asciiTheme="minorHAnsi" w:hAnsiTheme="minorHAnsi" w:cstheme="minorHAnsi"/>
              </w:rPr>
              <w:t>Ilość przyłączy (szt.)</w:t>
            </w:r>
          </w:p>
        </w:tc>
      </w:tr>
      <w:tr w:rsidR="00301D51" w:rsidRPr="00301D51"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301D51" w:rsidRPr="00301D51" w:rsidRDefault="00301D51" w:rsidP="00301D51">
            <w:pPr>
              <w:pStyle w:val="Akapitzlist"/>
              <w:numPr>
                <w:ilvl w:val="0"/>
                <w:numId w:val="9"/>
              </w:numPr>
              <w:rPr>
                <w:rFonts w:asciiTheme="minorHAnsi" w:hAnsiTheme="minorHAnsi" w:cstheme="minorHAnsi"/>
              </w:rPr>
            </w:pPr>
          </w:p>
        </w:tc>
        <w:tc>
          <w:tcPr>
            <w:tcW w:w="2539" w:type="dxa"/>
          </w:tcPr>
          <w:p w:rsidR="00301D51" w:rsidRPr="00301D51" w:rsidRDefault="00301D51" w:rsidP="00010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Głogowiec</w:t>
            </w:r>
          </w:p>
        </w:tc>
        <w:tc>
          <w:tcPr>
            <w:tcW w:w="2011"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10,640</w:t>
            </w:r>
          </w:p>
        </w:tc>
        <w:tc>
          <w:tcPr>
            <w:tcW w:w="2048"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1,021</w:t>
            </w:r>
          </w:p>
        </w:tc>
        <w:tc>
          <w:tcPr>
            <w:tcW w:w="1739"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75</w:t>
            </w:r>
          </w:p>
        </w:tc>
      </w:tr>
      <w:tr w:rsidR="00301D51" w:rsidRPr="00301D51" w:rsidTr="001957AA">
        <w:tc>
          <w:tcPr>
            <w:cnfStyle w:val="001000000000" w:firstRow="0" w:lastRow="0" w:firstColumn="1" w:lastColumn="0" w:oddVBand="0" w:evenVBand="0" w:oddHBand="0" w:evenHBand="0" w:firstRowFirstColumn="0" w:firstRowLastColumn="0" w:lastRowFirstColumn="0" w:lastRowLastColumn="0"/>
            <w:tcW w:w="723" w:type="dxa"/>
          </w:tcPr>
          <w:p w:rsidR="00301D51" w:rsidRPr="00301D51" w:rsidRDefault="00301D51" w:rsidP="00301D51">
            <w:pPr>
              <w:pStyle w:val="Akapitzlist"/>
              <w:numPr>
                <w:ilvl w:val="0"/>
                <w:numId w:val="9"/>
              </w:numPr>
              <w:rPr>
                <w:rFonts w:asciiTheme="minorHAnsi" w:hAnsiTheme="minorHAnsi" w:cstheme="minorHAnsi"/>
              </w:rPr>
            </w:pPr>
          </w:p>
        </w:tc>
        <w:tc>
          <w:tcPr>
            <w:tcW w:w="2539" w:type="dxa"/>
          </w:tcPr>
          <w:p w:rsidR="00301D51" w:rsidRPr="00301D51" w:rsidRDefault="00301D51" w:rsidP="00010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Gniewczyna Łańcucka</w:t>
            </w:r>
          </w:p>
        </w:tc>
        <w:tc>
          <w:tcPr>
            <w:tcW w:w="2011"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47,047</w:t>
            </w:r>
          </w:p>
        </w:tc>
        <w:tc>
          <w:tcPr>
            <w:tcW w:w="2048"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5,171</w:t>
            </w:r>
          </w:p>
        </w:tc>
        <w:tc>
          <w:tcPr>
            <w:tcW w:w="1739"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449</w:t>
            </w:r>
          </w:p>
        </w:tc>
      </w:tr>
      <w:tr w:rsidR="00301D51" w:rsidRPr="00301D51"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301D51" w:rsidRPr="00301D51" w:rsidRDefault="00301D51" w:rsidP="00301D51">
            <w:pPr>
              <w:pStyle w:val="Akapitzlist"/>
              <w:numPr>
                <w:ilvl w:val="0"/>
                <w:numId w:val="9"/>
              </w:numPr>
              <w:rPr>
                <w:rFonts w:asciiTheme="minorHAnsi" w:hAnsiTheme="minorHAnsi" w:cstheme="minorHAnsi"/>
              </w:rPr>
            </w:pPr>
          </w:p>
        </w:tc>
        <w:tc>
          <w:tcPr>
            <w:tcW w:w="2539" w:type="dxa"/>
          </w:tcPr>
          <w:p w:rsidR="00301D51" w:rsidRPr="00301D51" w:rsidRDefault="00301D51" w:rsidP="00010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Gniewczyna Tryniecka</w:t>
            </w:r>
          </w:p>
        </w:tc>
        <w:tc>
          <w:tcPr>
            <w:tcW w:w="2011"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18,824</w:t>
            </w:r>
          </w:p>
        </w:tc>
        <w:tc>
          <w:tcPr>
            <w:tcW w:w="2048"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2,919</w:t>
            </w:r>
          </w:p>
        </w:tc>
        <w:tc>
          <w:tcPr>
            <w:tcW w:w="1739"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197</w:t>
            </w:r>
          </w:p>
        </w:tc>
      </w:tr>
      <w:tr w:rsidR="00301D51" w:rsidRPr="00301D51" w:rsidTr="001957AA">
        <w:tc>
          <w:tcPr>
            <w:cnfStyle w:val="001000000000" w:firstRow="0" w:lastRow="0" w:firstColumn="1" w:lastColumn="0" w:oddVBand="0" w:evenVBand="0" w:oddHBand="0" w:evenHBand="0" w:firstRowFirstColumn="0" w:firstRowLastColumn="0" w:lastRowFirstColumn="0" w:lastRowLastColumn="0"/>
            <w:tcW w:w="723" w:type="dxa"/>
          </w:tcPr>
          <w:p w:rsidR="00301D51" w:rsidRPr="00301D51" w:rsidRDefault="00301D51" w:rsidP="00301D51">
            <w:pPr>
              <w:pStyle w:val="Akapitzlist"/>
              <w:numPr>
                <w:ilvl w:val="0"/>
                <w:numId w:val="9"/>
              </w:numPr>
              <w:rPr>
                <w:rFonts w:asciiTheme="minorHAnsi" w:hAnsiTheme="minorHAnsi" w:cstheme="minorHAnsi"/>
              </w:rPr>
            </w:pPr>
          </w:p>
        </w:tc>
        <w:tc>
          <w:tcPr>
            <w:tcW w:w="2539" w:type="dxa"/>
          </w:tcPr>
          <w:p w:rsidR="00301D51" w:rsidRPr="00301D51" w:rsidRDefault="00301D51" w:rsidP="00010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Gorzyce</w:t>
            </w:r>
          </w:p>
        </w:tc>
        <w:tc>
          <w:tcPr>
            <w:tcW w:w="2011"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26,156</w:t>
            </w:r>
          </w:p>
        </w:tc>
        <w:tc>
          <w:tcPr>
            <w:tcW w:w="2048"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4,187</w:t>
            </w:r>
          </w:p>
        </w:tc>
        <w:tc>
          <w:tcPr>
            <w:tcW w:w="1739"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289</w:t>
            </w:r>
          </w:p>
        </w:tc>
      </w:tr>
      <w:tr w:rsidR="00301D51" w:rsidRPr="00301D51"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301D51" w:rsidRPr="00301D51" w:rsidRDefault="00301D51" w:rsidP="00301D51">
            <w:pPr>
              <w:pStyle w:val="Akapitzlist"/>
              <w:numPr>
                <w:ilvl w:val="0"/>
                <w:numId w:val="9"/>
              </w:numPr>
              <w:rPr>
                <w:rFonts w:asciiTheme="minorHAnsi" w:hAnsiTheme="minorHAnsi" w:cstheme="minorHAnsi"/>
              </w:rPr>
            </w:pPr>
          </w:p>
        </w:tc>
        <w:tc>
          <w:tcPr>
            <w:tcW w:w="2539" w:type="dxa"/>
          </w:tcPr>
          <w:p w:rsidR="00301D51" w:rsidRPr="00301D51" w:rsidRDefault="00301D51" w:rsidP="00010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Jagiełła</w:t>
            </w:r>
          </w:p>
        </w:tc>
        <w:tc>
          <w:tcPr>
            <w:tcW w:w="2011"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25,119</w:t>
            </w:r>
          </w:p>
        </w:tc>
        <w:tc>
          <w:tcPr>
            <w:tcW w:w="2048"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5,789</w:t>
            </w:r>
          </w:p>
        </w:tc>
        <w:tc>
          <w:tcPr>
            <w:tcW w:w="1739"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270</w:t>
            </w:r>
          </w:p>
        </w:tc>
      </w:tr>
      <w:tr w:rsidR="00301D51" w:rsidRPr="00301D51" w:rsidTr="001957AA">
        <w:tc>
          <w:tcPr>
            <w:cnfStyle w:val="001000000000" w:firstRow="0" w:lastRow="0" w:firstColumn="1" w:lastColumn="0" w:oddVBand="0" w:evenVBand="0" w:oddHBand="0" w:evenHBand="0" w:firstRowFirstColumn="0" w:firstRowLastColumn="0" w:lastRowFirstColumn="0" w:lastRowLastColumn="0"/>
            <w:tcW w:w="723" w:type="dxa"/>
          </w:tcPr>
          <w:p w:rsidR="00301D51" w:rsidRPr="00301D51" w:rsidRDefault="00301D51" w:rsidP="00301D51">
            <w:pPr>
              <w:pStyle w:val="Akapitzlist"/>
              <w:numPr>
                <w:ilvl w:val="0"/>
                <w:numId w:val="9"/>
              </w:numPr>
              <w:rPr>
                <w:rFonts w:asciiTheme="minorHAnsi" w:hAnsiTheme="minorHAnsi" w:cstheme="minorHAnsi"/>
              </w:rPr>
            </w:pPr>
          </w:p>
        </w:tc>
        <w:tc>
          <w:tcPr>
            <w:tcW w:w="2539" w:type="dxa"/>
          </w:tcPr>
          <w:p w:rsidR="00301D51" w:rsidRPr="00301D51" w:rsidRDefault="00301D51" w:rsidP="00010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Tryńcza</w:t>
            </w:r>
          </w:p>
        </w:tc>
        <w:tc>
          <w:tcPr>
            <w:tcW w:w="2011"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26,612</w:t>
            </w:r>
          </w:p>
        </w:tc>
        <w:tc>
          <w:tcPr>
            <w:tcW w:w="2048"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4,526</w:t>
            </w:r>
          </w:p>
        </w:tc>
        <w:tc>
          <w:tcPr>
            <w:tcW w:w="1739"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320</w:t>
            </w:r>
          </w:p>
        </w:tc>
      </w:tr>
      <w:tr w:rsidR="00301D51" w:rsidRPr="00301D51"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301D51" w:rsidRPr="00301D51" w:rsidRDefault="00301D51" w:rsidP="00301D51">
            <w:pPr>
              <w:pStyle w:val="Akapitzlist"/>
              <w:numPr>
                <w:ilvl w:val="0"/>
                <w:numId w:val="9"/>
              </w:numPr>
              <w:rPr>
                <w:rFonts w:asciiTheme="minorHAnsi" w:hAnsiTheme="minorHAnsi" w:cstheme="minorHAnsi"/>
              </w:rPr>
            </w:pPr>
          </w:p>
        </w:tc>
        <w:tc>
          <w:tcPr>
            <w:tcW w:w="2539" w:type="dxa"/>
          </w:tcPr>
          <w:p w:rsidR="00301D51" w:rsidRPr="00301D51" w:rsidRDefault="00301D51" w:rsidP="00010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Ubieszyn</w:t>
            </w:r>
          </w:p>
        </w:tc>
        <w:tc>
          <w:tcPr>
            <w:tcW w:w="2011"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17,515</w:t>
            </w:r>
          </w:p>
        </w:tc>
        <w:tc>
          <w:tcPr>
            <w:tcW w:w="2048"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3,073</w:t>
            </w:r>
          </w:p>
        </w:tc>
        <w:tc>
          <w:tcPr>
            <w:tcW w:w="1739"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181</w:t>
            </w:r>
          </w:p>
        </w:tc>
      </w:tr>
      <w:tr w:rsidR="00301D51" w:rsidRPr="00301D51" w:rsidTr="001957AA">
        <w:tc>
          <w:tcPr>
            <w:cnfStyle w:val="001000000000" w:firstRow="0" w:lastRow="0" w:firstColumn="1" w:lastColumn="0" w:oddVBand="0" w:evenVBand="0" w:oddHBand="0" w:evenHBand="0" w:firstRowFirstColumn="0" w:firstRowLastColumn="0" w:lastRowFirstColumn="0" w:lastRowLastColumn="0"/>
            <w:tcW w:w="723" w:type="dxa"/>
          </w:tcPr>
          <w:p w:rsidR="00301D51" w:rsidRPr="00301D51" w:rsidRDefault="00301D51" w:rsidP="00301D51">
            <w:pPr>
              <w:pStyle w:val="Akapitzlist"/>
              <w:numPr>
                <w:ilvl w:val="0"/>
                <w:numId w:val="9"/>
              </w:numPr>
              <w:rPr>
                <w:rFonts w:asciiTheme="minorHAnsi" w:hAnsiTheme="minorHAnsi" w:cstheme="minorHAnsi"/>
              </w:rPr>
            </w:pPr>
          </w:p>
        </w:tc>
        <w:tc>
          <w:tcPr>
            <w:tcW w:w="2539" w:type="dxa"/>
          </w:tcPr>
          <w:p w:rsidR="00301D51" w:rsidRPr="00301D51" w:rsidRDefault="00301D51" w:rsidP="00010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Wólka Małkowa</w:t>
            </w:r>
          </w:p>
        </w:tc>
        <w:tc>
          <w:tcPr>
            <w:tcW w:w="2011"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9,257</w:t>
            </w:r>
          </w:p>
        </w:tc>
        <w:tc>
          <w:tcPr>
            <w:tcW w:w="2048"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1,423</w:t>
            </w:r>
          </w:p>
        </w:tc>
        <w:tc>
          <w:tcPr>
            <w:tcW w:w="1739"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77</w:t>
            </w:r>
          </w:p>
        </w:tc>
      </w:tr>
      <w:tr w:rsidR="00301D51" w:rsidRPr="00301D51"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Pr>
          <w:p w:rsidR="00301D51" w:rsidRPr="00301D51" w:rsidRDefault="00301D51" w:rsidP="00301D51">
            <w:pPr>
              <w:pStyle w:val="Akapitzlist"/>
              <w:numPr>
                <w:ilvl w:val="0"/>
                <w:numId w:val="9"/>
              </w:numPr>
              <w:rPr>
                <w:rFonts w:asciiTheme="minorHAnsi" w:hAnsiTheme="minorHAnsi" w:cstheme="minorHAnsi"/>
              </w:rPr>
            </w:pPr>
          </w:p>
        </w:tc>
        <w:tc>
          <w:tcPr>
            <w:tcW w:w="2539" w:type="dxa"/>
          </w:tcPr>
          <w:p w:rsidR="00301D51" w:rsidRPr="00301D51" w:rsidRDefault="00301D51" w:rsidP="00010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Wólka Ogryzkowa</w:t>
            </w:r>
          </w:p>
        </w:tc>
        <w:tc>
          <w:tcPr>
            <w:tcW w:w="2011"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6,390</w:t>
            </w:r>
          </w:p>
        </w:tc>
        <w:tc>
          <w:tcPr>
            <w:tcW w:w="2048"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0,520</w:t>
            </w:r>
          </w:p>
        </w:tc>
        <w:tc>
          <w:tcPr>
            <w:tcW w:w="1739"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01D51">
              <w:rPr>
                <w:rFonts w:asciiTheme="minorHAnsi" w:hAnsiTheme="minorHAnsi" w:cstheme="minorHAnsi"/>
              </w:rPr>
              <w:t>62</w:t>
            </w:r>
          </w:p>
        </w:tc>
      </w:tr>
      <w:tr w:rsidR="00301D51" w:rsidRPr="00301D51" w:rsidTr="001957AA">
        <w:trPr>
          <w:trHeight w:val="501"/>
        </w:trPr>
        <w:tc>
          <w:tcPr>
            <w:cnfStyle w:val="001000000000" w:firstRow="0" w:lastRow="0" w:firstColumn="1" w:lastColumn="0" w:oddVBand="0" w:evenVBand="0" w:oddHBand="0" w:evenHBand="0" w:firstRowFirstColumn="0" w:firstRowLastColumn="0" w:lastRowFirstColumn="0" w:lastRowLastColumn="0"/>
            <w:tcW w:w="3262" w:type="dxa"/>
            <w:gridSpan w:val="2"/>
          </w:tcPr>
          <w:p w:rsidR="00301D51" w:rsidRPr="00301D51" w:rsidRDefault="00301D51" w:rsidP="00010686">
            <w:pPr>
              <w:rPr>
                <w:rFonts w:asciiTheme="minorHAnsi" w:hAnsiTheme="minorHAnsi" w:cstheme="minorHAnsi"/>
                <w:b w:val="0"/>
              </w:rPr>
            </w:pPr>
            <w:r w:rsidRPr="00301D51">
              <w:rPr>
                <w:rFonts w:asciiTheme="minorHAnsi" w:hAnsiTheme="minorHAnsi" w:cstheme="minorHAnsi"/>
              </w:rPr>
              <w:t>Razem:</w:t>
            </w:r>
          </w:p>
        </w:tc>
        <w:tc>
          <w:tcPr>
            <w:tcW w:w="2011"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01D51">
              <w:rPr>
                <w:rFonts w:asciiTheme="minorHAnsi" w:hAnsiTheme="minorHAnsi" w:cstheme="minorHAnsi"/>
                <w:b/>
              </w:rPr>
              <w:t>187,560</w:t>
            </w:r>
          </w:p>
        </w:tc>
        <w:tc>
          <w:tcPr>
            <w:tcW w:w="2048"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01D51">
              <w:rPr>
                <w:rFonts w:asciiTheme="minorHAnsi" w:hAnsiTheme="minorHAnsi" w:cstheme="minorHAnsi"/>
                <w:b/>
              </w:rPr>
              <w:t>28,629</w:t>
            </w:r>
          </w:p>
        </w:tc>
        <w:tc>
          <w:tcPr>
            <w:tcW w:w="1739"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01D51">
              <w:rPr>
                <w:rFonts w:asciiTheme="minorHAnsi" w:hAnsiTheme="minorHAnsi" w:cstheme="minorHAnsi"/>
                <w:b/>
              </w:rPr>
              <w:t>1 920</w:t>
            </w:r>
          </w:p>
        </w:tc>
      </w:tr>
    </w:tbl>
    <w:p w:rsidR="00301D51" w:rsidRPr="00301D51" w:rsidRDefault="00301D51" w:rsidP="00301D51">
      <w:pPr>
        <w:pStyle w:val="Legenda"/>
      </w:pPr>
      <w:r>
        <w:t xml:space="preserve">Źródło: Strategia Rozwoju Gminy Tryńcza na lata 2016-2020 </w:t>
      </w:r>
    </w:p>
    <w:p w:rsidR="00301D51" w:rsidRDefault="00301D51" w:rsidP="00301D51">
      <w:pPr>
        <w:spacing w:before="240"/>
        <w:ind w:firstLine="851"/>
        <w:jc w:val="both"/>
        <w:rPr>
          <w:color w:val="000000"/>
        </w:rPr>
      </w:pPr>
      <w:r w:rsidRPr="00EA7B43">
        <w:rPr>
          <w:color w:val="000000"/>
        </w:rPr>
        <w:lastRenderedPageBreak/>
        <w:t xml:space="preserve">Dostęp do sieci kanalizacyjnej </w:t>
      </w:r>
      <w:r>
        <w:rPr>
          <w:color w:val="000000"/>
        </w:rPr>
        <w:t xml:space="preserve">w Gminie </w:t>
      </w:r>
      <w:r w:rsidRPr="00EA7B43">
        <w:rPr>
          <w:color w:val="000000"/>
        </w:rPr>
        <w:t>można określić jako dobry.</w:t>
      </w:r>
      <w:r>
        <w:rPr>
          <w:color w:val="000000"/>
        </w:rPr>
        <w:t xml:space="preserve"> Z pewnością zadaniem ważnym będzie modernizacja oczyszczalni ścieków, a także prowadzenie działań obliczonych na wzrost świadomości ekologicznej mieszkańców</w:t>
      </w:r>
      <w:r w:rsidRPr="00EA7B43">
        <w:rPr>
          <w:color w:val="000000"/>
        </w:rPr>
        <w:t xml:space="preserve">. </w:t>
      </w:r>
    </w:p>
    <w:p w:rsidR="00301D51" w:rsidRPr="00906A54" w:rsidRDefault="00301D51" w:rsidP="00301D51">
      <w:pPr>
        <w:spacing w:before="240"/>
        <w:ind w:firstLine="851"/>
        <w:jc w:val="both"/>
        <w:rPr>
          <w:color w:val="000000"/>
        </w:rPr>
      </w:pPr>
      <w:r w:rsidRPr="00906A54">
        <w:rPr>
          <w:color w:val="000000"/>
        </w:rPr>
        <w:t xml:space="preserve">Stan sieci gazowej </w:t>
      </w:r>
      <w:r>
        <w:rPr>
          <w:color w:val="000000"/>
        </w:rPr>
        <w:t xml:space="preserve">w Gminie Tryńcza pokazuje poniższa tabela. Według stanu </w:t>
      </w:r>
      <w:r>
        <w:rPr>
          <w:color w:val="000000"/>
        </w:rPr>
        <w:br/>
        <w:t>na koniec roku 2014 długość sieci gazowej w gminie wynosiła ponad 89 km, długość przyłączy gazowych ponad 41 km, zaś ich liczba wynosiła 1.764. Odbiorcami gazu z sieci było 1.478 gospodarstw.</w:t>
      </w:r>
    </w:p>
    <w:p w:rsidR="00301D51" w:rsidRDefault="00301D51" w:rsidP="00301D51">
      <w:pPr>
        <w:pStyle w:val="Legenda"/>
      </w:pPr>
      <w:bookmarkStart w:id="40" w:name="_Toc495887796"/>
      <w:r>
        <w:t xml:space="preserve">Tabela </w:t>
      </w:r>
      <w:r w:rsidR="00172343">
        <w:fldChar w:fldCharType="begin"/>
      </w:r>
      <w:r w:rsidR="00172343">
        <w:instrText xml:space="preserve"> SEQ Tabela \* ARABIC </w:instrText>
      </w:r>
      <w:r w:rsidR="00172343">
        <w:fldChar w:fldCharType="separate"/>
      </w:r>
      <w:r w:rsidR="00D67FEC">
        <w:rPr>
          <w:noProof/>
        </w:rPr>
        <w:t>7</w:t>
      </w:r>
      <w:r w:rsidR="00172343">
        <w:rPr>
          <w:noProof/>
        </w:rPr>
        <w:fldChar w:fldCharType="end"/>
      </w:r>
      <w:r>
        <w:t xml:space="preserve"> </w:t>
      </w:r>
      <w:r w:rsidRPr="00301D51">
        <w:t>Stan sieci gazowej na terenie Gminy Tryńcza. Stan na 30.12.2014 (oprac. wł. na podst. danych z UG)</w:t>
      </w:r>
      <w:bookmarkEnd w:id="40"/>
    </w:p>
    <w:tbl>
      <w:tblPr>
        <w:tblStyle w:val="Tabelasiatki5ciemnaakcent32"/>
        <w:tblW w:w="0" w:type="auto"/>
        <w:tblLook w:val="04A0" w:firstRow="1" w:lastRow="0" w:firstColumn="1" w:lastColumn="0" w:noHBand="0" w:noVBand="1"/>
      </w:tblPr>
      <w:tblGrid>
        <w:gridCol w:w="799"/>
        <w:gridCol w:w="1940"/>
        <w:gridCol w:w="1782"/>
        <w:gridCol w:w="1398"/>
        <w:gridCol w:w="1556"/>
        <w:gridCol w:w="1585"/>
      </w:tblGrid>
      <w:tr w:rsidR="00301D51" w:rsidRPr="00301D51" w:rsidTr="00195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dxa"/>
          </w:tcPr>
          <w:p w:rsidR="00301D51" w:rsidRPr="00301D51" w:rsidRDefault="00301D51" w:rsidP="00010686">
            <w:pPr>
              <w:jc w:val="center"/>
              <w:rPr>
                <w:rFonts w:asciiTheme="minorHAnsi" w:hAnsiTheme="minorHAnsi" w:cstheme="minorHAnsi"/>
                <w:b w:val="0"/>
                <w:sz w:val="22"/>
              </w:rPr>
            </w:pPr>
            <w:r w:rsidRPr="00301D51">
              <w:rPr>
                <w:rFonts w:asciiTheme="minorHAnsi" w:hAnsiTheme="minorHAnsi" w:cstheme="minorHAnsi"/>
                <w:sz w:val="22"/>
              </w:rPr>
              <w:t>L.p.</w:t>
            </w:r>
          </w:p>
        </w:tc>
        <w:tc>
          <w:tcPr>
            <w:tcW w:w="1940" w:type="dxa"/>
          </w:tcPr>
          <w:p w:rsidR="00301D51" w:rsidRPr="00301D51" w:rsidRDefault="00301D51" w:rsidP="0001068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301D51">
              <w:rPr>
                <w:rFonts w:asciiTheme="minorHAnsi" w:hAnsiTheme="minorHAnsi" w:cstheme="minorHAnsi"/>
                <w:sz w:val="22"/>
              </w:rPr>
              <w:t>Miejscowość</w:t>
            </w:r>
          </w:p>
        </w:tc>
        <w:tc>
          <w:tcPr>
            <w:tcW w:w="1782" w:type="dxa"/>
          </w:tcPr>
          <w:p w:rsidR="00301D51" w:rsidRPr="00301D51" w:rsidRDefault="00301D51" w:rsidP="0001068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301D51">
              <w:rPr>
                <w:rFonts w:asciiTheme="minorHAnsi" w:hAnsiTheme="minorHAnsi" w:cstheme="minorHAnsi"/>
                <w:sz w:val="22"/>
              </w:rPr>
              <w:t>Długość przyłączy</w:t>
            </w:r>
            <w:r w:rsidRPr="00301D51">
              <w:rPr>
                <w:rFonts w:asciiTheme="minorHAnsi" w:hAnsiTheme="minorHAnsi" w:cstheme="minorHAnsi"/>
                <w:sz w:val="22"/>
              </w:rPr>
              <w:br/>
              <w:t>(m)</w:t>
            </w:r>
          </w:p>
        </w:tc>
        <w:tc>
          <w:tcPr>
            <w:tcW w:w="1398" w:type="dxa"/>
          </w:tcPr>
          <w:p w:rsidR="00301D51" w:rsidRPr="00301D51" w:rsidRDefault="00301D51" w:rsidP="0001068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301D51">
              <w:rPr>
                <w:rFonts w:asciiTheme="minorHAnsi" w:hAnsiTheme="minorHAnsi" w:cstheme="minorHAnsi"/>
                <w:sz w:val="22"/>
              </w:rPr>
              <w:t xml:space="preserve">Ilość przyłączy </w:t>
            </w:r>
          </w:p>
        </w:tc>
        <w:tc>
          <w:tcPr>
            <w:tcW w:w="1556" w:type="dxa"/>
          </w:tcPr>
          <w:p w:rsidR="00301D51" w:rsidRPr="00301D51" w:rsidRDefault="00301D51" w:rsidP="0001068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301D51">
              <w:rPr>
                <w:rFonts w:asciiTheme="minorHAnsi" w:hAnsiTheme="minorHAnsi" w:cstheme="minorHAnsi"/>
                <w:sz w:val="22"/>
              </w:rPr>
              <w:t>Długość sieci</w:t>
            </w:r>
          </w:p>
          <w:p w:rsidR="00301D51" w:rsidRPr="00301D51" w:rsidRDefault="00301D51" w:rsidP="0001068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301D51">
              <w:rPr>
                <w:rFonts w:asciiTheme="minorHAnsi" w:hAnsiTheme="minorHAnsi" w:cstheme="minorHAnsi"/>
                <w:sz w:val="22"/>
              </w:rPr>
              <w:t>(m)</w:t>
            </w:r>
          </w:p>
        </w:tc>
        <w:tc>
          <w:tcPr>
            <w:tcW w:w="1585" w:type="dxa"/>
          </w:tcPr>
          <w:p w:rsidR="00301D51" w:rsidRPr="00301D51" w:rsidRDefault="00301D51" w:rsidP="0001068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301D51">
              <w:rPr>
                <w:rFonts w:asciiTheme="minorHAnsi" w:hAnsiTheme="minorHAnsi" w:cstheme="minorHAnsi"/>
                <w:sz w:val="22"/>
              </w:rPr>
              <w:t>Liczba odbiorców</w:t>
            </w:r>
          </w:p>
        </w:tc>
      </w:tr>
      <w:tr w:rsidR="00301D51" w:rsidRPr="00301D51"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dxa"/>
          </w:tcPr>
          <w:p w:rsidR="00301D51" w:rsidRPr="00301D51" w:rsidRDefault="00301D51" w:rsidP="00301D51">
            <w:pPr>
              <w:pStyle w:val="Akapitzlist"/>
              <w:numPr>
                <w:ilvl w:val="0"/>
                <w:numId w:val="10"/>
              </w:numPr>
              <w:rPr>
                <w:rFonts w:asciiTheme="minorHAnsi" w:hAnsiTheme="minorHAnsi" w:cstheme="minorHAnsi"/>
                <w:sz w:val="22"/>
              </w:rPr>
            </w:pPr>
          </w:p>
        </w:tc>
        <w:tc>
          <w:tcPr>
            <w:tcW w:w="1940" w:type="dxa"/>
          </w:tcPr>
          <w:p w:rsidR="00301D51" w:rsidRPr="00301D51" w:rsidRDefault="00301D51" w:rsidP="00010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Głogowiec</w:t>
            </w:r>
          </w:p>
        </w:tc>
        <w:tc>
          <w:tcPr>
            <w:tcW w:w="1782"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 xml:space="preserve">1 930 </w:t>
            </w:r>
          </w:p>
        </w:tc>
        <w:tc>
          <w:tcPr>
            <w:tcW w:w="1398"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73</w:t>
            </w:r>
          </w:p>
        </w:tc>
        <w:tc>
          <w:tcPr>
            <w:tcW w:w="1556"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4 553</w:t>
            </w:r>
          </w:p>
        </w:tc>
        <w:tc>
          <w:tcPr>
            <w:tcW w:w="1585"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55</w:t>
            </w:r>
          </w:p>
        </w:tc>
      </w:tr>
      <w:tr w:rsidR="00301D51" w:rsidRPr="00301D51" w:rsidTr="001957AA">
        <w:tc>
          <w:tcPr>
            <w:cnfStyle w:val="001000000000" w:firstRow="0" w:lastRow="0" w:firstColumn="1" w:lastColumn="0" w:oddVBand="0" w:evenVBand="0" w:oddHBand="0" w:evenHBand="0" w:firstRowFirstColumn="0" w:firstRowLastColumn="0" w:lastRowFirstColumn="0" w:lastRowLastColumn="0"/>
            <w:tcW w:w="799" w:type="dxa"/>
          </w:tcPr>
          <w:p w:rsidR="00301D51" w:rsidRPr="00301D51" w:rsidRDefault="00301D51" w:rsidP="00301D51">
            <w:pPr>
              <w:pStyle w:val="Akapitzlist"/>
              <w:numPr>
                <w:ilvl w:val="0"/>
                <w:numId w:val="10"/>
              </w:numPr>
              <w:rPr>
                <w:rFonts w:asciiTheme="minorHAnsi" w:hAnsiTheme="minorHAnsi" w:cstheme="minorHAnsi"/>
                <w:sz w:val="22"/>
              </w:rPr>
            </w:pPr>
          </w:p>
        </w:tc>
        <w:tc>
          <w:tcPr>
            <w:tcW w:w="1940" w:type="dxa"/>
          </w:tcPr>
          <w:p w:rsidR="00301D51" w:rsidRPr="00301D51" w:rsidRDefault="00301D51" w:rsidP="00010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Gniewczyna Łańcucka</w:t>
            </w:r>
          </w:p>
        </w:tc>
        <w:tc>
          <w:tcPr>
            <w:tcW w:w="1782" w:type="dxa"/>
            <w:vMerge w:val="restart"/>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12 913</w:t>
            </w:r>
          </w:p>
        </w:tc>
        <w:tc>
          <w:tcPr>
            <w:tcW w:w="1398"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435</w:t>
            </w:r>
          </w:p>
        </w:tc>
        <w:tc>
          <w:tcPr>
            <w:tcW w:w="1556" w:type="dxa"/>
            <w:vMerge w:val="restart"/>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22 377</w:t>
            </w:r>
          </w:p>
        </w:tc>
        <w:tc>
          <w:tcPr>
            <w:tcW w:w="1585"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377</w:t>
            </w:r>
          </w:p>
        </w:tc>
      </w:tr>
      <w:tr w:rsidR="00301D51" w:rsidRPr="00301D51"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dxa"/>
          </w:tcPr>
          <w:p w:rsidR="00301D51" w:rsidRPr="00301D51" w:rsidRDefault="00301D51" w:rsidP="00301D51">
            <w:pPr>
              <w:pStyle w:val="Akapitzlist"/>
              <w:numPr>
                <w:ilvl w:val="0"/>
                <w:numId w:val="10"/>
              </w:numPr>
              <w:rPr>
                <w:rFonts w:asciiTheme="minorHAnsi" w:hAnsiTheme="minorHAnsi" w:cstheme="minorHAnsi"/>
                <w:sz w:val="22"/>
              </w:rPr>
            </w:pPr>
          </w:p>
        </w:tc>
        <w:tc>
          <w:tcPr>
            <w:tcW w:w="1940" w:type="dxa"/>
          </w:tcPr>
          <w:p w:rsidR="00301D51" w:rsidRPr="00301D51" w:rsidRDefault="00301D51" w:rsidP="00010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Gniewczyna Tryniecka</w:t>
            </w:r>
          </w:p>
        </w:tc>
        <w:tc>
          <w:tcPr>
            <w:tcW w:w="1782" w:type="dxa"/>
            <w:vMerge/>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
        </w:tc>
        <w:tc>
          <w:tcPr>
            <w:tcW w:w="1398"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174</w:t>
            </w:r>
          </w:p>
        </w:tc>
        <w:tc>
          <w:tcPr>
            <w:tcW w:w="1556" w:type="dxa"/>
            <w:vMerge/>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
        </w:tc>
        <w:tc>
          <w:tcPr>
            <w:tcW w:w="1585"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148</w:t>
            </w:r>
          </w:p>
        </w:tc>
      </w:tr>
      <w:tr w:rsidR="00301D51" w:rsidRPr="00301D51" w:rsidTr="001957AA">
        <w:tc>
          <w:tcPr>
            <w:cnfStyle w:val="001000000000" w:firstRow="0" w:lastRow="0" w:firstColumn="1" w:lastColumn="0" w:oddVBand="0" w:evenVBand="0" w:oddHBand="0" w:evenHBand="0" w:firstRowFirstColumn="0" w:firstRowLastColumn="0" w:lastRowFirstColumn="0" w:lastRowLastColumn="0"/>
            <w:tcW w:w="799" w:type="dxa"/>
          </w:tcPr>
          <w:p w:rsidR="00301D51" w:rsidRPr="00301D51" w:rsidRDefault="00301D51" w:rsidP="00301D51">
            <w:pPr>
              <w:pStyle w:val="Akapitzlist"/>
              <w:numPr>
                <w:ilvl w:val="0"/>
                <w:numId w:val="10"/>
              </w:numPr>
              <w:rPr>
                <w:rFonts w:asciiTheme="minorHAnsi" w:hAnsiTheme="minorHAnsi" w:cstheme="minorHAnsi"/>
                <w:sz w:val="22"/>
              </w:rPr>
            </w:pPr>
          </w:p>
        </w:tc>
        <w:tc>
          <w:tcPr>
            <w:tcW w:w="1940" w:type="dxa"/>
          </w:tcPr>
          <w:p w:rsidR="00301D51" w:rsidRPr="00301D51" w:rsidRDefault="00301D51" w:rsidP="00010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Gorzyce</w:t>
            </w:r>
          </w:p>
        </w:tc>
        <w:tc>
          <w:tcPr>
            <w:tcW w:w="1782"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5 012</w:t>
            </w:r>
          </w:p>
        </w:tc>
        <w:tc>
          <w:tcPr>
            <w:tcW w:w="1398"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246</w:t>
            </w:r>
          </w:p>
        </w:tc>
        <w:tc>
          <w:tcPr>
            <w:tcW w:w="1556"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12 871</w:t>
            </w:r>
          </w:p>
        </w:tc>
        <w:tc>
          <w:tcPr>
            <w:tcW w:w="1585"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215</w:t>
            </w:r>
          </w:p>
        </w:tc>
      </w:tr>
      <w:tr w:rsidR="00301D51" w:rsidRPr="00301D51"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dxa"/>
          </w:tcPr>
          <w:p w:rsidR="00301D51" w:rsidRPr="00301D51" w:rsidRDefault="00301D51" w:rsidP="00301D51">
            <w:pPr>
              <w:pStyle w:val="Akapitzlist"/>
              <w:numPr>
                <w:ilvl w:val="0"/>
                <w:numId w:val="10"/>
              </w:numPr>
              <w:rPr>
                <w:rFonts w:asciiTheme="minorHAnsi" w:hAnsiTheme="minorHAnsi" w:cstheme="minorHAnsi"/>
                <w:sz w:val="22"/>
              </w:rPr>
            </w:pPr>
          </w:p>
        </w:tc>
        <w:tc>
          <w:tcPr>
            <w:tcW w:w="1940" w:type="dxa"/>
          </w:tcPr>
          <w:p w:rsidR="00301D51" w:rsidRPr="00301D51" w:rsidRDefault="00301D51" w:rsidP="00010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Jagiełła</w:t>
            </w:r>
          </w:p>
        </w:tc>
        <w:tc>
          <w:tcPr>
            <w:tcW w:w="1782"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4 227</w:t>
            </w:r>
          </w:p>
        </w:tc>
        <w:tc>
          <w:tcPr>
            <w:tcW w:w="1398"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230</w:t>
            </w:r>
          </w:p>
        </w:tc>
        <w:tc>
          <w:tcPr>
            <w:tcW w:w="1556"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14 210</w:t>
            </w:r>
          </w:p>
        </w:tc>
        <w:tc>
          <w:tcPr>
            <w:tcW w:w="1585"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223</w:t>
            </w:r>
          </w:p>
        </w:tc>
      </w:tr>
      <w:tr w:rsidR="00301D51" w:rsidRPr="00301D51" w:rsidTr="001957AA">
        <w:tc>
          <w:tcPr>
            <w:cnfStyle w:val="001000000000" w:firstRow="0" w:lastRow="0" w:firstColumn="1" w:lastColumn="0" w:oddVBand="0" w:evenVBand="0" w:oddHBand="0" w:evenHBand="0" w:firstRowFirstColumn="0" w:firstRowLastColumn="0" w:lastRowFirstColumn="0" w:lastRowLastColumn="0"/>
            <w:tcW w:w="799" w:type="dxa"/>
          </w:tcPr>
          <w:p w:rsidR="00301D51" w:rsidRPr="00301D51" w:rsidRDefault="00301D51" w:rsidP="00301D51">
            <w:pPr>
              <w:pStyle w:val="Akapitzlist"/>
              <w:numPr>
                <w:ilvl w:val="0"/>
                <w:numId w:val="10"/>
              </w:numPr>
              <w:rPr>
                <w:rFonts w:asciiTheme="minorHAnsi" w:hAnsiTheme="minorHAnsi" w:cstheme="minorHAnsi"/>
                <w:sz w:val="22"/>
              </w:rPr>
            </w:pPr>
          </w:p>
        </w:tc>
        <w:tc>
          <w:tcPr>
            <w:tcW w:w="1940" w:type="dxa"/>
          </w:tcPr>
          <w:p w:rsidR="00301D51" w:rsidRPr="00301D51" w:rsidRDefault="00301D51" w:rsidP="00010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Tryńcza</w:t>
            </w:r>
          </w:p>
        </w:tc>
        <w:tc>
          <w:tcPr>
            <w:tcW w:w="1782"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7 043</w:t>
            </w:r>
          </w:p>
        </w:tc>
        <w:tc>
          <w:tcPr>
            <w:tcW w:w="1398"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336</w:t>
            </w:r>
          </w:p>
        </w:tc>
        <w:tc>
          <w:tcPr>
            <w:tcW w:w="1556"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18 249</w:t>
            </w:r>
          </w:p>
        </w:tc>
        <w:tc>
          <w:tcPr>
            <w:tcW w:w="1585"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255</w:t>
            </w:r>
          </w:p>
        </w:tc>
      </w:tr>
      <w:tr w:rsidR="00301D51" w:rsidRPr="00301D51"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dxa"/>
          </w:tcPr>
          <w:p w:rsidR="00301D51" w:rsidRPr="00301D51" w:rsidRDefault="00301D51" w:rsidP="00301D51">
            <w:pPr>
              <w:pStyle w:val="Akapitzlist"/>
              <w:numPr>
                <w:ilvl w:val="0"/>
                <w:numId w:val="10"/>
              </w:numPr>
              <w:rPr>
                <w:rFonts w:asciiTheme="minorHAnsi" w:hAnsiTheme="minorHAnsi" w:cstheme="minorHAnsi"/>
                <w:sz w:val="22"/>
              </w:rPr>
            </w:pPr>
          </w:p>
        </w:tc>
        <w:tc>
          <w:tcPr>
            <w:tcW w:w="1940" w:type="dxa"/>
          </w:tcPr>
          <w:p w:rsidR="00301D51" w:rsidRPr="00301D51" w:rsidRDefault="00301D51" w:rsidP="00010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Ubieszyn</w:t>
            </w:r>
          </w:p>
        </w:tc>
        <w:tc>
          <w:tcPr>
            <w:tcW w:w="1782"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3 569</w:t>
            </w:r>
          </w:p>
        </w:tc>
        <w:tc>
          <w:tcPr>
            <w:tcW w:w="1398"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142</w:t>
            </w:r>
          </w:p>
        </w:tc>
        <w:tc>
          <w:tcPr>
            <w:tcW w:w="1556"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8 876</w:t>
            </w:r>
          </w:p>
        </w:tc>
        <w:tc>
          <w:tcPr>
            <w:tcW w:w="1585"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118</w:t>
            </w:r>
          </w:p>
        </w:tc>
      </w:tr>
      <w:tr w:rsidR="00301D51" w:rsidRPr="00301D51" w:rsidTr="001957AA">
        <w:tc>
          <w:tcPr>
            <w:cnfStyle w:val="001000000000" w:firstRow="0" w:lastRow="0" w:firstColumn="1" w:lastColumn="0" w:oddVBand="0" w:evenVBand="0" w:oddHBand="0" w:evenHBand="0" w:firstRowFirstColumn="0" w:firstRowLastColumn="0" w:lastRowFirstColumn="0" w:lastRowLastColumn="0"/>
            <w:tcW w:w="799" w:type="dxa"/>
          </w:tcPr>
          <w:p w:rsidR="00301D51" w:rsidRPr="00301D51" w:rsidRDefault="00301D51" w:rsidP="00301D51">
            <w:pPr>
              <w:pStyle w:val="Akapitzlist"/>
              <w:numPr>
                <w:ilvl w:val="0"/>
                <w:numId w:val="10"/>
              </w:numPr>
              <w:rPr>
                <w:rFonts w:asciiTheme="minorHAnsi" w:hAnsiTheme="minorHAnsi" w:cstheme="minorHAnsi"/>
                <w:sz w:val="22"/>
              </w:rPr>
            </w:pPr>
          </w:p>
        </w:tc>
        <w:tc>
          <w:tcPr>
            <w:tcW w:w="1940" w:type="dxa"/>
          </w:tcPr>
          <w:p w:rsidR="00301D51" w:rsidRPr="00301D51" w:rsidRDefault="00301D51" w:rsidP="00010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Wólka Małkowa</w:t>
            </w:r>
          </w:p>
        </w:tc>
        <w:tc>
          <w:tcPr>
            <w:tcW w:w="1782"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1 500</w:t>
            </w:r>
          </w:p>
        </w:tc>
        <w:tc>
          <w:tcPr>
            <w:tcW w:w="1398"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69</w:t>
            </w:r>
          </w:p>
        </w:tc>
        <w:tc>
          <w:tcPr>
            <w:tcW w:w="1556"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4 073</w:t>
            </w:r>
          </w:p>
        </w:tc>
        <w:tc>
          <w:tcPr>
            <w:tcW w:w="1585"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47</w:t>
            </w:r>
          </w:p>
        </w:tc>
      </w:tr>
      <w:tr w:rsidR="00301D51" w:rsidRPr="00301D51"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dxa"/>
          </w:tcPr>
          <w:p w:rsidR="00301D51" w:rsidRPr="00301D51" w:rsidRDefault="00301D51" w:rsidP="00301D51">
            <w:pPr>
              <w:pStyle w:val="Akapitzlist"/>
              <w:numPr>
                <w:ilvl w:val="0"/>
                <w:numId w:val="10"/>
              </w:numPr>
              <w:rPr>
                <w:rFonts w:asciiTheme="minorHAnsi" w:hAnsiTheme="minorHAnsi" w:cstheme="minorHAnsi"/>
                <w:sz w:val="22"/>
              </w:rPr>
            </w:pPr>
          </w:p>
        </w:tc>
        <w:tc>
          <w:tcPr>
            <w:tcW w:w="1940" w:type="dxa"/>
          </w:tcPr>
          <w:p w:rsidR="00301D51" w:rsidRPr="00301D51" w:rsidRDefault="00301D51" w:rsidP="00010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Wólka Ogryzkowa</w:t>
            </w:r>
          </w:p>
        </w:tc>
        <w:tc>
          <w:tcPr>
            <w:tcW w:w="1782"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4 831</w:t>
            </w:r>
          </w:p>
        </w:tc>
        <w:tc>
          <w:tcPr>
            <w:tcW w:w="1398"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59</w:t>
            </w:r>
          </w:p>
        </w:tc>
        <w:tc>
          <w:tcPr>
            <w:tcW w:w="1556"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3 977</w:t>
            </w:r>
          </w:p>
        </w:tc>
        <w:tc>
          <w:tcPr>
            <w:tcW w:w="1585" w:type="dxa"/>
          </w:tcPr>
          <w:p w:rsidR="00301D51" w:rsidRPr="00301D51" w:rsidRDefault="00301D51" w:rsidP="000106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01D51">
              <w:rPr>
                <w:rFonts w:asciiTheme="minorHAnsi" w:hAnsiTheme="minorHAnsi" w:cstheme="minorHAnsi"/>
                <w:sz w:val="22"/>
              </w:rPr>
              <w:t>40</w:t>
            </w:r>
          </w:p>
        </w:tc>
      </w:tr>
      <w:tr w:rsidR="00301D51" w:rsidRPr="00301D51" w:rsidTr="001957AA">
        <w:trPr>
          <w:trHeight w:val="235"/>
        </w:trPr>
        <w:tc>
          <w:tcPr>
            <w:cnfStyle w:val="001000000000" w:firstRow="0" w:lastRow="0" w:firstColumn="1" w:lastColumn="0" w:oddVBand="0" w:evenVBand="0" w:oddHBand="0" w:evenHBand="0" w:firstRowFirstColumn="0" w:firstRowLastColumn="0" w:lastRowFirstColumn="0" w:lastRowLastColumn="0"/>
            <w:tcW w:w="799" w:type="dxa"/>
          </w:tcPr>
          <w:p w:rsidR="00301D51" w:rsidRPr="00301D51" w:rsidRDefault="00301D51" w:rsidP="00010686">
            <w:pPr>
              <w:rPr>
                <w:rFonts w:asciiTheme="minorHAnsi" w:hAnsiTheme="minorHAnsi" w:cstheme="minorHAnsi"/>
                <w:b w:val="0"/>
                <w:sz w:val="22"/>
              </w:rPr>
            </w:pPr>
          </w:p>
        </w:tc>
        <w:tc>
          <w:tcPr>
            <w:tcW w:w="1940" w:type="dxa"/>
          </w:tcPr>
          <w:p w:rsidR="00301D51" w:rsidRPr="00301D51" w:rsidRDefault="00301D51" w:rsidP="00010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301D51">
              <w:rPr>
                <w:rFonts w:asciiTheme="minorHAnsi" w:hAnsiTheme="minorHAnsi" w:cstheme="minorHAnsi"/>
                <w:b/>
                <w:sz w:val="22"/>
              </w:rPr>
              <w:t>Razem:</w:t>
            </w:r>
          </w:p>
        </w:tc>
        <w:tc>
          <w:tcPr>
            <w:tcW w:w="1782"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301D51">
              <w:rPr>
                <w:rFonts w:asciiTheme="minorHAnsi" w:hAnsiTheme="minorHAnsi" w:cstheme="minorHAnsi"/>
                <w:b/>
                <w:sz w:val="22"/>
              </w:rPr>
              <w:t>41 025</w:t>
            </w:r>
          </w:p>
        </w:tc>
        <w:tc>
          <w:tcPr>
            <w:tcW w:w="1398"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301D51">
              <w:rPr>
                <w:rFonts w:asciiTheme="minorHAnsi" w:hAnsiTheme="minorHAnsi" w:cstheme="minorHAnsi"/>
                <w:b/>
                <w:sz w:val="22"/>
              </w:rPr>
              <w:t>1764</w:t>
            </w:r>
          </w:p>
        </w:tc>
        <w:tc>
          <w:tcPr>
            <w:tcW w:w="1556"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301D51">
              <w:rPr>
                <w:rFonts w:asciiTheme="minorHAnsi" w:hAnsiTheme="minorHAnsi" w:cstheme="minorHAnsi"/>
                <w:b/>
                <w:sz w:val="22"/>
              </w:rPr>
              <w:t>89 186</w:t>
            </w:r>
          </w:p>
        </w:tc>
        <w:tc>
          <w:tcPr>
            <w:tcW w:w="1585" w:type="dxa"/>
          </w:tcPr>
          <w:p w:rsidR="00301D51" w:rsidRPr="00301D51" w:rsidRDefault="00301D51" w:rsidP="000106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301D51">
              <w:rPr>
                <w:rFonts w:asciiTheme="minorHAnsi" w:hAnsiTheme="minorHAnsi" w:cstheme="minorHAnsi"/>
                <w:b/>
                <w:sz w:val="22"/>
              </w:rPr>
              <w:t>1 478</w:t>
            </w:r>
          </w:p>
        </w:tc>
      </w:tr>
    </w:tbl>
    <w:p w:rsidR="00301D51" w:rsidRPr="00301D51" w:rsidRDefault="00301D51" w:rsidP="00301D51">
      <w:pPr>
        <w:pStyle w:val="Legenda"/>
      </w:pPr>
      <w:r>
        <w:t xml:space="preserve">Źródło: Strategia Rozwoju Gminy Tryńcza na lata 2016-2020 </w:t>
      </w:r>
    </w:p>
    <w:p w:rsidR="00301D51" w:rsidRDefault="00301D51" w:rsidP="00301D51">
      <w:pPr>
        <w:spacing w:before="100" w:beforeAutospacing="1" w:after="100" w:afterAutospacing="1"/>
        <w:ind w:firstLine="851"/>
        <w:jc w:val="both"/>
        <w:rPr>
          <w:color w:val="000000"/>
        </w:rPr>
      </w:pPr>
      <w:r w:rsidRPr="005918E1">
        <w:rPr>
          <w:color w:val="000000"/>
        </w:rPr>
        <w:t xml:space="preserve">Gmina Tryńcza jest w pełni zelektryfikowana. </w:t>
      </w:r>
      <w:r>
        <w:rPr>
          <w:color w:val="000000"/>
        </w:rPr>
        <w:t>Energia elektryczna na terenie G</w:t>
      </w:r>
      <w:r w:rsidRPr="005918E1">
        <w:rPr>
          <w:color w:val="000000"/>
        </w:rPr>
        <w:t>miny Tryńcza pochodzi od jednego dostawc</w:t>
      </w:r>
      <w:r>
        <w:rPr>
          <w:color w:val="000000"/>
        </w:rPr>
        <w:t xml:space="preserve">y, wyłonionego w drodze przetargu, którym jest </w:t>
      </w:r>
      <w:r w:rsidRPr="005918E1">
        <w:rPr>
          <w:color w:val="000000"/>
        </w:rPr>
        <w:t xml:space="preserve">Zamojska Korporacja Energetyczna. </w:t>
      </w:r>
      <w:r>
        <w:rPr>
          <w:color w:val="000000"/>
        </w:rPr>
        <w:t>Sieć energetyczna G</w:t>
      </w:r>
      <w:r w:rsidRPr="005918E1">
        <w:rPr>
          <w:color w:val="000000"/>
        </w:rPr>
        <w:t>miny została zmodernizowana. Obecnie w miejscach, gdzie istnieje zapotrzebowanie</w:t>
      </w:r>
      <w:r>
        <w:rPr>
          <w:color w:val="000000"/>
        </w:rPr>
        <w:t>,</w:t>
      </w:r>
      <w:r w:rsidRPr="005918E1">
        <w:rPr>
          <w:color w:val="000000"/>
        </w:rPr>
        <w:t xml:space="preserve"> sieć jest sukcesywnie rozbudowywana. </w:t>
      </w:r>
      <w:r>
        <w:rPr>
          <w:color w:val="000000"/>
        </w:rPr>
        <w:t>Przez północno-wschodnią część G</w:t>
      </w:r>
      <w:r w:rsidRPr="005918E1">
        <w:rPr>
          <w:color w:val="000000"/>
        </w:rPr>
        <w:t>miny biegnie linia 750  kV i rezerwa terenu pod linię 40</w:t>
      </w:r>
      <w:r>
        <w:rPr>
          <w:color w:val="000000"/>
        </w:rPr>
        <w:t>0 kV. Wybudowano stację transformatorową i </w:t>
      </w:r>
      <w:r w:rsidRPr="005918E1">
        <w:rPr>
          <w:color w:val="000000"/>
        </w:rPr>
        <w:t>linię kablową dla zasilania osiedla mieszkaniowego i zespołu budynków administracyjnych w centrum Tryńczy.</w:t>
      </w:r>
      <w:r>
        <w:rPr>
          <w:color w:val="000000"/>
        </w:rPr>
        <w:t xml:space="preserve"> Planowane inwestycje z zakresu</w:t>
      </w:r>
      <w:r w:rsidRPr="005918E1">
        <w:rPr>
          <w:color w:val="000000"/>
        </w:rPr>
        <w:t xml:space="preserve"> energetyki dotyczą oświetlenia miejsc publicznych (latarnie) i wymiany lamp z gazowych na ledowe, a także zastosowania oświetlenia </w:t>
      </w:r>
      <w:r>
        <w:rPr>
          <w:color w:val="000000"/>
        </w:rPr>
        <w:t>solarnego (</w:t>
      </w:r>
      <w:r w:rsidRPr="005918E1">
        <w:rPr>
          <w:color w:val="000000"/>
        </w:rPr>
        <w:t>hybrydowego</w:t>
      </w:r>
      <w:r>
        <w:rPr>
          <w:color w:val="000000"/>
        </w:rPr>
        <w:t>)</w:t>
      </w:r>
      <w:r w:rsidRPr="005918E1">
        <w:rPr>
          <w:color w:val="000000"/>
        </w:rPr>
        <w:t>.</w:t>
      </w:r>
    </w:p>
    <w:p w:rsidR="00301D51" w:rsidRDefault="00301D51" w:rsidP="00301D51">
      <w:pPr>
        <w:pStyle w:val="Bezodstpw"/>
        <w:spacing w:line="276" w:lineRule="auto"/>
        <w:jc w:val="both"/>
      </w:pPr>
      <w:r>
        <w:tab/>
        <w:t xml:space="preserve">Odpady składowane są w Giedlarowej. </w:t>
      </w:r>
      <w:r w:rsidRPr="00301D51">
        <w:t xml:space="preserve">Na terenie Gminy działa </w:t>
      </w:r>
      <w:r>
        <w:t>jeden</w:t>
      </w:r>
      <w:r w:rsidRPr="00301D51">
        <w:t xml:space="preserve"> Punkt Selektywnej Zbiórki Odpadów Komunalnych (PSZOK)</w:t>
      </w:r>
      <w:r>
        <w:t>. W roku referencyjnym 2014 deklaracje w sprawie opłaty za gospodarowanie odpadami komunalnymi złożyło 1.947 właścicieli nieruchomości, a objętych opłatą zostało 6.764 osoby. W 1.889 gospodarstwach odpady segregowało 6.678 osób, a w 48 gospodarstwach 86 osób dostarczało odpady zmieszane. Liczba mieszkańców objętych opłatą ma charakter zmienny. Spowodowane jest to faktem zmiany miejsca zamieszkania, wymeldowaniem, zameldowaniem, zgonami i urodzeniami. Firmą wybraną w drodze przetargu na odbiór i zagospodarowanie odpadów zostało „Stare Miasto-Park” Sp. z o.o. (Wierzawice 874, 37-300 Leżajsk), Sortownia Odpadów Komunalnych w Giedlarowej.</w:t>
      </w:r>
    </w:p>
    <w:p w:rsidR="00301D51" w:rsidRDefault="00301D51" w:rsidP="00301D51">
      <w:pPr>
        <w:pStyle w:val="Bezodstpw"/>
        <w:spacing w:line="276" w:lineRule="auto"/>
        <w:jc w:val="both"/>
      </w:pPr>
    </w:p>
    <w:p w:rsidR="00301D51" w:rsidRDefault="00301D51" w:rsidP="00301D51">
      <w:pPr>
        <w:pStyle w:val="Nagwek3"/>
      </w:pPr>
      <w:bookmarkStart w:id="41" w:name="_Toc496558064"/>
      <w:r>
        <w:lastRenderedPageBreak/>
        <w:t>Infrastruktura sportowa i rekreacyjna</w:t>
      </w:r>
      <w:bookmarkEnd w:id="41"/>
    </w:p>
    <w:p w:rsidR="00301D51" w:rsidRDefault="00301D51" w:rsidP="00301D51">
      <w:pPr>
        <w:pStyle w:val="Bezodstpw"/>
        <w:spacing w:line="276" w:lineRule="auto"/>
        <w:jc w:val="both"/>
      </w:pPr>
    </w:p>
    <w:p w:rsidR="00301D51" w:rsidRDefault="00301D51" w:rsidP="00301D51">
      <w:pPr>
        <w:pStyle w:val="Bezodstpw"/>
        <w:spacing w:line="276" w:lineRule="auto"/>
        <w:ind w:firstLine="708"/>
        <w:jc w:val="both"/>
      </w:pPr>
      <w:r>
        <w:t>Jedną z priorytetowych działalności prowadzonych przez Gminę Tryńcza jest propagowanie rozwoju kultury fizycznej i sportu oraz jego upowszechnianie wśród mieszkańców.</w:t>
      </w:r>
    </w:p>
    <w:p w:rsidR="00301D51" w:rsidRDefault="00301D51" w:rsidP="00301D51">
      <w:pPr>
        <w:pStyle w:val="Bezodstpw"/>
        <w:spacing w:line="276" w:lineRule="auto"/>
        <w:ind w:firstLine="708"/>
        <w:jc w:val="both"/>
      </w:pPr>
      <w:r>
        <w:t xml:space="preserve">Aktualnie Gmina dysponuje rozwiniętą infrastrukturą sportową w skład której wchodzą następujące obiekty sportowe: </w:t>
      </w:r>
    </w:p>
    <w:p w:rsidR="00301D51" w:rsidRDefault="00301D51" w:rsidP="00301D51">
      <w:pPr>
        <w:pStyle w:val="Bezodstpw"/>
        <w:spacing w:line="276" w:lineRule="auto"/>
        <w:jc w:val="both"/>
      </w:pPr>
      <w:r>
        <w:t>•</w:t>
      </w:r>
      <w:r>
        <w:tab/>
        <w:t>Hala sportowa w miejscowości Gniewczyna Łańcucka;</w:t>
      </w:r>
    </w:p>
    <w:p w:rsidR="00301D51" w:rsidRDefault="00301D51" w:rsidP="00301D51">
      <w:pPr>
        <w:pStyle w:val="Bezodstpw"/>
        <w:spacing w:line="276" w:lineRule="auto"/>
        <w:jc w:val="both"/>
      </w:pPr>
      <w:r>
        <w:t>•</w:t>
      </w:r>
      <w:r>
        <w:tab/>
        <w:t>Hala widowiskowo-sportowa w miejscowości Tryńcza;</w:t>
      </w:r>
    </w:p>
    <w:p w:rsidR="00301D51" w:rsidRDefault="00301D51" w:rsidP="00301D51">
      <w:pPr>
        <w:pStyle w:val="Bezodstpw"/>
        <w:spacing w:line="276" w:lineRule="auto"/>
        <w:jc w:val="both"/>
      </w:pPr>
      <w:r>
        <w:t>•</w:t>
      </w:r>
      <w:r>
        <w:tab/>
        <w:t>Sala gimnastyczna przy Zespole Szkół w Jagielle;</w:t>
      </w:r>
    </w:p>
    <w:p w:rsidR="00301D51" w:rsidRDefault="00301D51" w:rsidP="00301D51">
      <w:pPr>
        <w:pStyle w:val="Bezodstpw"/>
        <w:spacing w:line="276" w:lineRule="auto"/>
        <w:jc w:val="both"/>
      </w:pPr>
      <w:r>
        <w:t>•</w:t>
      </w:r>
      <w:r>
        <w:tab/>
        <w:t>Sala gimnastyczna przy Zespole Szkół w Gorzycach;</w:t>
      </w:r>
    </w:p>
    <w:p w:rsidR="00301D51" w:rsidRDefault="00301D51" w:rsidP="00301D51">
      <w:pPr>
        <w:pStyle w:val="Bezodstpw"/>
        <w:spacing w:line="276" w:lineRule="auto"/>
        <w:jc w:val="both"/>
      </w:pPr>
      <w:r>
        <w:t>•</w:t>
      </w:r>
      <w:r>
        <w:tab/>
        <w:t>Stadiony sportowe z boiskiem o nawierzchni trawiastej  i zapleczem szatniowo – sanitarnym w miejscowościach Tryńcza, Gorzyce, Gniewczyna Tryniecka i Jagiełła;</w:t>
      </w:r>
    </w:p>
    <w:p w:rsidR="00301D51" w:rsidRDefault="00301D51" w:rsidP="00301D51">
      <w:pPr>
        <w:pStyle w:val="Bezodstpw"/>
        <w:spacing w:line="276" w:lineRule="auto"/>
        <w:jc w:val="both"/>
      </w:pPr>
      <w:r>
        <w:t>•</w:t>
      </w:r>
      <w:r>
        <w:tab/>
        <w:t xml:space="preserve">Kompleksy boisk sportowo– rekreacyjnych Orlik 2012, w skład których wchodzą: </w:t>
      </w:r>
    </w:p>
    <w:p w:rsidR="00301D51" w:rsidRDefault="00301D51" w:rsidP="00301D51">
      <w:pPr>
        <w:pStyle w:val="Bezodstpw"/>
        <w:spacing w:line="276" w:lineRule="auto"/>
        <w:jc w:val="both"/>
      </w:pPr>
      <w:r>
        <w:t>o</w:t>
      </w:r>
      <w:r>
        <w:tab/>
        <w:t xml:space="preserve">boisko piłkarskie o wymiarach 30 m x 62 m z nawierzchnią z trawy syntetycznej, </w:t>
      </w:r>
    </w:p>
    <w:p w:rsidR="00301D51" w:rsidRDefault="00301D51" w:rsidP="00301D51">
      <w:pPr>
        <w:pStyle w:val="Bezodstpw"/>
        <w:spacing w:line="276" w:lineRule="auto"/>
        <w:jc w:val="both"/>
      </w:pPr>
      <w:r>
        <w:t>o</w:t>
      </w:r>
      <w:r>
        <w:tab/>
        <w:t xml:space="preserve">boisko wielofunkcyjne do koszykówki i piłki siatkowej o wymiarach 19,1 m x 32,1 m </w:t>
      </w:r>
      <w:r w:rsidR="00010686">
        <w:t>z </w:t>
      </w:r>
      <w:r>
        <w:t>poliuretanową nawierzchnią oraz budynek sanitarno-szatniowy.</w:t>
      </w:r>
    </w:p>
    <w:p w:rsidR="00301D51" w:rsidRDefault="00301D51" w:rsidP="00301D51">
      <w:pPr>
        <w:pStyle w:val="Bezodstpw"/>
        <w:spacing w:line="276" w:lineRule="auto"/>
        <w:jc w:val="both"/>
      </w:pPr>
      <w:r>
        <w:t>Obiekty te są w całości ogrodzone i  oświetlone. Zlokalizowane są w miejscowościach Tryńcza, Gorzyce, Gniewczyna Łańcucka;</w:t>
      </w:r>
    </w:p>
    <w:p w:rsidR="00301D51" w:rsidRDefault="00301D51" w:rsidP="00010686">
      <w:pPr>
        <w:pStyle w:val="Bezodstpw"/>
        <w:tabs>
          <w:tab w:val="left" w:pos="426"/>
        </w:tabs>
        <w:spacing w:line="276" w:lineRule="auto"/>
        <w:jc w:val="both"/>
      </w:pPr>
      <w:r>
        <w:t>•</w:t>
      </w:r>
      <w:r>
        <w:tab/>
        <w:t>Boiska tartanowe przy szkołach w miejscowości Gniewczyna Łańcucka, Jagiełła, Ubieszyn;</w:t>
      </w:r>
    </w:p>
    <w:p w:rsidR="00301D51" w:rsidRDefault="00301D51" w:rsidP="00010686">
      <w:pPr>
        <w:pStyle w:val="Bezodstpw"/>
        <w:tabs>
          <w:tab w:val="left" w:pos="426"/>
        </w:tabs>
        <w:spacing w:line="276" w:lineRule="auto"/>
        <w:jc w:val="both"/>
      </w:pPr>
      <w:r>
        <w:t>•</w:t>
      </w:r>
      <w:r>
        <w:tab/>
        <w:t>Sezonowe lodowisko składane Biały Orlik w miejscowości Tryńcza.</w:t>
      </w:r>
    </w:p>
    <w:p w:rsidR="00301D51" w:rsidRDefault="00301D51" w:rsidP="00010686">
      <w:pPr>
        <w:pStyle w:val="Bezodstpw"/>
        <w:tabs>
          <w:tab w:val="left" w:pos="426"/>
        </w:tabs>
        <w:spacing w:line="276" w:lineRule="auto"/>
        <w:ind w:firstLine="708"/>
        <w:jc w:val="both"/>
      </w:pPr>
      <w:r>
        <w:t xml:space="preserve">Właściwe wykorzystanie posiadanej infrastruktury powinno przyczynić się do podniesienia poziomu usportowienia w Gminie i zainteresowania mieszkańców aktywnymi formami spędzania wolnego czasu.  </w:t>
      </w:r>
    </w:p>
    <w:p w:rsidR="00010686" w:rsidRDefault="00010686" w:rsidP="00010686">
      <w:pPr>
        <w:pStyle w:val="Bezodstpw"/>
        <w:spacing w:line="276" w:lineRule="auto"/>
        <w:jc w:val="both"/>
      </w:pPr>
    </w:p>
    <w:p w:rsidR="00010686" w:rsidRDefault="00010686" w:rsidP="00010686">
      <w:pPr>
        <w:pStyle w:val="Nagwek3"/>
      </w:pPr>
      <w:bookmarkStart w:id="42" w:name="_Toc496558065"/>
      <w:r>
        <w:t>Infrastruktura kultury</w:t>
      </w:r>
      <w:bookmarkEnd w:id="42"/>
    </w:p>
    <w:p w:rsidR="00010686" w:rsidRDefault="00010686" w:rsidP="00010686">
      <w:pPr>
        <w:pStyle w:val="Bezodstpw"/>
        <w:spacing w:line="276" w:lineRule="auto"/>
        <w:jc w:val="both"/>
      </w:pPr>
    </w:p>
    <w:p w:rsidR="00010686" w:rsidRDefault="00010686" w:rsidP="00010686">
      <w:pPr>
        <w:pStyle w:val="Bezodstpw"/>
        <w:spacing w:line="276" w:lineRule="auto"/>
        <w:ind w:firstLine="708"/>
        <w:jc w:val="both"/>
      </w:pPr>
      <w:r>
        <w:t>Gmina Tryńcza to obszar atrakcyjny nie tylko ze względu na wymienione powyżej walory krajobrazowe i  przyrodnicze, ale także na swoje dziedzictwo kulturowe i pamiątki materialne w postaci zabytków i obiektów historycznych, zlokalizowanych w wielu miejscowościach gminy:</w:t>
      </w:r>
    </w:p>
    <w:p w:rsidR="00010686" w:rsidRDefault="00010686" w:rsidP="00010686">
      <w:pPr>
        <w:pStyle w:val="Bezodstpw"/>
        <w:jc w:val="both"/>
      </w:pPr>
    </w:p>
    <w:p w:rsidR="00010686" w:rsidRDefault="00010686" w:rsidP="00010686">
      <w:pPr>
        <w:pStyle w:val="Bezodstpw"/>
        <w:spacing w:line="276" w:lineRule="auto"/>
        <w:jc w:val="both"/>
      </w:pPr>
      <w:r>
        <w:t xml:space="preserve">Głogowiec </w:t>
      </w:r>
    </w:p>
    <w:p w:rsidR="00010686" w:rsidRDefault="00010686" w:rsidP="00010686">
      <w:pPr>
        <w:pStyle w:val="Bezodstpw"/>
        <w:spacing w:line="276" w:lineRule="auto"/>
        <w:jc w:val="both"/>
      </w:pPr>
      <w:r>
        <w:t>W tej miejscowości o historii sięgającej XIV wieku obiektami o znaczeniu historycznym są:</w:t>
      </w:r>
    </w:p>
    <w:p w:rsidR="00010686" w:rsidRDefault="00010686" w:rsidP="00010686">
      <w:pPr>
        <w:pStyle w:val="Bezodstpw"/>
        <w:tabs>
          <w:tab w:val="left" w:pos="426"/>
        </w:tabs>
        <w:spacing w:line="276" w:lineRule="auto"/>
        <w:jc w:val="both"/>
      </w:pPr>
      <w:r>
        <w:t>•</w:t>
      </w:r>
      <w:r>
        <w:tab/>
        <w:t>murowana kapliczka z końca XIX wieku;</w:t>
      </w:r>
    </w:p>
    <w:p w:rsidR="00010686" w:rsidRDefault="00010686" w:rsidP="00010686">
      <w:pPr>
        <w:pStyle w:val="Bezodstpw"/>
        <w:tabs>
          <w:tab w:val="left" w:pos="426"/>
        </w:tabs>
        <w:spacing w:line="276" w:lineRule="auto"/>
        <w:jc w:val="both"/>
      </w:pPr>
      <w:r>
        <w:t>•</w:t>
      </w:r>
      <w:r>
        <w:tab/>
        <w:t>kapliczka – krzyż z około 1930 r.;</w:t>
      </w:r>
    </w:p>
    <w:p w:rsidR="00010686" w:rsidRDefault="00010686" w:rsidP="00010686">
      <w:pPr>
        <w:pStyle w:val="Bezodstpw"/>
        <w:tabs>
          <w:tab w:val="left" w:pos="426"/>
        </w:tabs>
        <w:spacing w:line="276" w:lineRule="auto"/>
        <w:jc w:val="both"/>
      </w:pPr>
      <w:r>
        <w:t>•</w:t>
      </w:r>
      <w:r>
        <w:tab/>
        <w:t>drewniana zabudowa wiejska, na ogół konstrukcji zrębowej z widocznymi ostatkami, nakryta dachami dwuspadowymi ze szczytami ozdobionymi snycerką</w:t>
      </w:r>
    </w:p>
    <w:p w:rsidR="00010686" w:rsidRDefault="00010686" w:rsidP="00010686">
      <w:pPr>
        <w:pStyle w:val="Bezodstpw"/>
        <w:spacing w:line="276" w:lineRule="auto"/>
        <w:jc w:val="both"/>
      </w:pPr>
    </w:p>
    <w:p w:rsidR="00010686" w:rsidRDefault="00010686" w:rsidP="00010686">
      <w:pPr>
        <w:pStyle w:val="Bezodstpw"/>
        <w:spacing w:line="276" w:lineRule="auto"/>
        <w:jc w:val="both"/>
      </w:pPr>
      <w:r>
        <w:t xml:space="preserve">Gniewczyna </w:t>
      </w:r>
    </w:p>
    <w:p w:rsidR="00010686" w:rsidRDefault="00010686" w:rsidP="00010686">
      <w:pPr>
        <w:pStyle w:val="Bezodstpw"/>
        <w:spacing w:line="276" w:lineRule="auto"/>
        <w:jc w:val="both"/>
      </w:pPr>
      <w:r>
        <w:t>Obiektami o szczególnym znaczeniu dla historii wsi datującej się na wiek XIV są:</w:t>
      </w:r>
    </w:p>
    <w:p w:rsidR="00010686" w:rsidRDefault="00010686" w:rsidP="00010686">
      <w:pPr>
        <w:pStyle w:val="Bezodstpw"/>
        <w:tabs>
          <w:tab w:val="left" w:pos="426"/>
        </w:tabs>
        <w:spacing w:line="276" w:lineRule="auto"/>
        <w:jc w:val="both"/>
      </w:pPr>
      <w:r>
        <w:t>•</w:t>
      </w:r>
      <w:r>
        <w:tab/>
        <w:t xml:space="preserve">zespół kościoła p.w. św. Mateusza składający się z kościoła wybudowanego w latach 1901-1909 o cechach neogotyckich, budynku dawnej plebanki z początku XX wieku </w:t>
      </w:r>
    </w:p>
    <w:p w:rsidR="00010686" w:rsidRDefault="00010686" w:rsidP="00010686">
      <w:pPr>
        <w:pStyle w:val="Bezodstpw"/>
        <w:tabs>
          <w:tab w:val="left" w:pos="426"/>
        </w:tabs>
        <w:spacing w:line="276" w:lineRule="auto"/>
        <w:jc w:val="both"/>
      </w:pPr>
      <w:r>
        <w:t>oraz  budynku gospodarczego;</w:t>
      </w:r>
    </w:p>
    <w:p w:rsidR="00010686" w:rsidRDefault="00010686" w:rsidP="00010686">
      <w:pPr>
        <w:pStyle w:val="Bezodstpw"/>
        <w:tabs>
          <w:tab w:val="left" w:pos="426"/>
        </w:tabs>
        <w:spacing w:line="276" w:lineRule="auto"/>
        <w:jc w:val="both"/>
      </w:pPr>
      <w:r>
        <w:t>•</w:t>
      </w:r>
      <w:r>
        <w:tab/>
        <w:t>murowana kapliczka z końca XIX wieku o oryginalnym neobarokowym charakterze;</w:t>
      </w:r>
    </w:p>
    <w:p w:rsidR="00010686" w:rsidRDefault="00010686" w:rsidP="00010686">
      <w:pPr>
        <w:pStyle w:val="Bezodstpw"/>
        <w:tabs>
          <w:tab w:val="left" w:pos="426"/>
        </w:tabs>
        <w:spacing w:line="276" w:lineRule="auto"/>
        <w:jc w:val="both"/>
      </w:pPr>
      <w:r>
        <w:t>•</w:t>
      </w:r>
      <w:r>
        <w:tab/>
        <w:t>murowana kapliczka z lat trzydziestych XX wieku;</w:t>
      </w:r>
    </w:p>
    <w:p w:rsidR="00010686" w:rsidRDefault="00010686" w:rsidP="00010686">
      <w:pPr>
        <w:pStyle w:val="Bezodstpw"/>
        <w:tabs>
          <w:tab w:val="left" w:pos="426"/>
        </w:tabs>
        <w:spacing w:line="276" w:lineRule="auto"/>
        <w:jc w:val="both"/>
      </w:pPr>
      <w:r>
        <w:t>•</w:t>
      </w:r>
      <w:r>
        <w:tab/>
        <w:t>murowana kapliczka z lat czterdziestych XX wieku;</w:t>
      </w:r>
    </w:p>
    <w:p w:rsidR="00010686" w:rsidRDefault="00010686" w:rsidP="00010686">
      <w:pPr>
        <w:pStyle w:val="Bezodstpw"/>
        <w:tabs>
          <w:tab w:val="left" w:pos="426"/>
        </w:tabs>
        <w:spacing w:line="276" w:lineRule="auto"/>
        <w:jc w:val="both"/>
      </w:pPr>
      <w:r>
        <w:lastRenderedPageBreak/>
        <w:t>•</w:t>
      </w:r>
      <w:r>
        <w:tab/>
        <w:t>pomnik kamienny poświęcony księdzu Stojałowskiemu z 1911 r.;</w:t>
      </w:r>
    </w:p>
    <w:p w:rsidR="00010686" w:rsidRDefault="00010686" w:rsidP="00010686">
      <w:pPr>
        <w:pStyle w:val="Bezodstpw"/>
        <w:tabs>
          <w:tab w:val="left" w:pos="426"/>
        </w:tabs>
        <w:spacing w:line="276" w:lineRule="auto"/>
        <w:jc w:val="both"/>
      </w:pPr>
      <w:r>
        <w:t>•</w:t>
      </w:r>
      <w:r>
        <w:tab/>
        <w:t>zachowana zabudowa drewniana wiejska z okresu międzywojennego, o zrębowych konstrukcjach,  ze szczytami ozdobionymi snycerką.</w:t>
      </w:r>
    </w:p>
    <w:p w:rsidR="00010686" w:rsidRDefault="00010686" w:rsidP="00010686">
      <w:pPr>
        <w:pStyle w:val="Bezodstpw"/>
        <w:spacing w:line="276" w:lineRule="auto"/>
        <w:jc w:val="both"/>
      </w:pPr>
    </w:p>
    <w:p w:rsidR="00010686" w:rsidRDefault="00010686" w:rsidP="00010686">
      <w:pPr>
        <w:pStyle w:val="Bezodstpw"/>
        <w:spacing w:line="276" w:lineRule="auto"/>
        <w:jc w:val="both"/>
      </w:pPr>
      <w:r>
        <w:t xml:space="preserve">Gorzyce </w:t>
      </w:r>
    </w:p>
    <w:p w:rsidR="00010686" w:rsidRDefault="00010686" w:rsidP="00010686">
      <w:pPr>
        <w:pStyle w:val="Bezodstpw"/>
        <w:spacing w:line="276" w:lineRule="auto"/>
        <w:jc w:val="both"/>
      </w:pPr>
      <w:r>
        <w:t>Gorzyce to wieś założona nie później niż w XV wieku, określana była również jako Wola Posańska lub Podsańska. W zachowanym układzie przestrzennym Gorzyc szczególnie warte uwagi są następujące elementy:</w:t>
      </w:r>
    </w:p>
    <w:p w:rsidR="00010686" w:rsidRDefault="00010686" w:rsidP="00010686">
      <w:pPr>
        <w:pStyle w:val="Bezodstpw"/>
        <w:tabs>
          <w:tab w:val="left" w:pos="426"/>
        </w:tabs>
        <w:spacing w:line="276" w:lineRule="auto"/>
        <w:jc w:val="both"/>
      </w:pPr>
      <w:r>
        <w:t>•</w:t>
      </w:r>
      <w:r>
        <w:tab/>
        <w:t>miejsce po nieistniejącej cerkwi, zaznaczone na terenie poprzez rosnące na jego obrzeżu drzewa, z drewnianym krzyżem oznaczającym znajdujący się tu niegdyś cmentarz;</w:t>
      </w:r>
    </w:p>
    <w:p w:rsidR="00010686" w:rsidRDefault="00010686" w:rsidP="00010686">
      <w:pPr>
        <w:pStyle w:val="Bezodstpw"/>
        <w:tabs>
          <w:tab w:val="left" w:pos="426"/>
        </w:tabs>
        <w:spacing w:line="276" w:lineRule="auto"/>
        <w:jc w:val="both"/>
      </w:pPr>
      <w:r>
        <w:t>•</w:t>
      </w:r>
      <w:r>
        <w:tab/>
        <w:t>cmentarz z okresu I wojny światowej, kryjący szczątki poległych 184 żołnierzy z armii austro-węgierskiej, niemieckiej i rosyjskiej, piękny kamienny pomnik;</w:t>
      </w:r>
    </w:p>
    <w:p w:rsidR="00010686" w:rsidRDefault="00010686" w:rsidP="00010686">
      <w:pPr>
        <w:pStyle w:val="Bezodstpw"/>
        <w:tabs>
          <w:tab w:val="left" w:pos="426"/>
        </w:tabs>
        <w:spacing w:line="276" w:lineRule="auto"/>
        <w:jc w:val="both"/>
      </w:pPr>
      <w:r>
        <w:t>•</w:t>
      </w:r>
      <w:r>
        <w:tab/>
        <w:t>pomnik upamiętniający I wojnę światową przy zagrodzie nr 186;</w:t>
      </w:r>
    </w:p>
    <w:p w:rsidR="00010686" w:rsidRDefault="00010686" w:rsidP="00010686">
      <w:pPr>
        <w:pStyle w:val="Bezodstpw"/>
        <w:tabs>
          <w:tab w:val="left" w:pos="426"/>
        </w:tabs>
        <w:spacing w:line="276" w:lineRule="auto"/>
        <w:jc w:val="both"/>
      </w:pPr>
      <w:r>
        <w:t>•</w:t>
      </w:r>
      <w:r>
        <w:tab/>
        <w:t>kapliczka murowana, słupowa usytuowana w drewnianym ogrodzeniu z lat dwudziestych XX wieku;</w:t>
      </w:r>
    </w:p>
    <w:p w:rsidR="00010686" w:rsidRDefault="00010686" w:rsidP="00010686">
      <w:pPr>
        <w:pStyle w:val="Bezodstpw"/>
        <w:tabs>
          <w:tab w:val="left" w:pos="426"/>
        </w:tabs>
        <w:spacing w:line="276" w:lineRule="auto"/>
        <w:jc w:val="both"/>
      </w:pPr>
      <w:r>
        <w:t>•</w:t>
      </w:r>
      <w:r>
        <w:tab/>
        <w:t>zachowana drewniana zabudowa wsi o konstrukcji zrębowej, nakryta dwuspadowymi dachami, ze szczytami zdobionymi snycerką,  pochodząca głównie z lat okresu międzywojennego;</w:t>
      </w:r>
    </w:p>
    <w:p w:rsidR="00010686" w:rsidRDefault="00010686" w:rsidP="00010686">
      <w:pPr>
        <w:pStyle w:val="Bezodstpw"/>
        <w:tabs>
          <w:tab w:val="left" w:pos="426"/>
        </w:tabs>
        <w:spacing w:line="276" w:lineRule="auto"/>
        <w:jc w:val="both"/>
      </w:pPr>
      <w:r>
        <w:t>•</w:t>
      </w:r>
      <w:r>
        <w:tab/>
        <w:t>murowany dom sióstr Karmelitanek z XIX wieku.</w:t>
      </w:r>
    </w:p>
    <w:p w:rsidR="00010686" w:rsidRDefault="00010686" w:rsidP="00010686">
      <w:pPr>
        <w:pStyle w:val="Bezodstpw"/>
        <w:spacing w:line="276" w:lineRule="auto"/>
        <w:jc w:val="both"/>
      </w:pPr>
    </w:p>
    <w:p w:rsidR="00010686" w:rsidRDefault="00010686" w:rsidP="00010686">
      <w:pPr>
        <w:pStyle w:val="Bezodstpw"/>
        <w:spacing w:line="276" w:lineRule="auto"/>
        <w:jc w:val="both"/>
      </w:pPr>
    </w:p>
    <w:p w:rsidR="00010686" w:rsidRDefault="00010686" w:rsidP="00010686">
      <w:pPr>
        <w:pStyle w:val="Bezodstpw"/>
        <w:spacing w:line="276" w:lineRule="auto"/>
        <w:jc w:val="both"/>
      </w:pPr>
      <w:r>
        <w:t xml:space="preserve">Jagiełła </w:t>
      </w:r>
    </w:p>
    <w:p w:rsidR="00010686" w:rsidRDefault="00010686" w:rsidP="00010686">
      <w:pPr>
        <w:pStyle w:val="Bezodstpw"/>
        <w:spacing w:line="276" w:lineRule="auto"/>
        <w:jc w:val="both"/>
      </w:pPr>
      <w:r>
        <w:t>Jagiełła to wieś założona prawdopodobnie w XV wieku, która dawniej nosiła nazwę Wola. Na uwagę w zabudowie wsi zasługują m.in.:</w:t>
      </w:r>
    </w:p>
    <w:p w:rsidR="00010686" w:rsidRDefault="00010686" w:rsidP="00010686">
      <w:pPr>
        <w:pStyle w:val="Bezodstpw"/>
        <w:tabs>
          <w:tab w:val="left" w:pos="426"/>
        </w:tabs>
        <w:spacing w:line="276" w:lineRule="auto"/>
        <w:jc w:val="both"/>
      </w:pPr>
      <w:r>
        <w:t>•</w:t>
      </w:r>
      <w:r>
        <w:tab/>
        <w:t>kapliczka murowana z XIX wieku;</w:t>
      </w:r>
    </w:p>
    <w:p w:rsidR="00010686" w:rsidRDefault="00010686" w:rsidP="00010686">
      <w:pPr>
        <w:pStyle w:val="Bezodstpw"/>
        <w:tabs>
          <w:tab w:val="left" w:pos="426"/>
        </w:tabs>
        <w:spacing w:line="276" w:lineRule="auto"/>
        <w:jc w:val="both"/>
      </w:pPr>
      <w:r>
        <w:t>•</w:t>
      </w:r>
      <w:r>
        <w:tab/>
        <w:t>kapliczka murowana z lat dwudziestych XX wieku;</w:t>
      </w:r>
    </w:p>
    <w:p w:rsidR="00010686" w:rsidRDefault="00010686" w:rsidP="00010686">
      <w:pPr>
        <w:pStyle w:val="Bezodstpw"/>
        <w:tabs>
          <w:tab w:val="left" w:pos="426"/>
        </w:tabs>
        <w:spacing w:line="276" w:lineRule="auto"/>
        <w:jc w:val="both"/>
      </w:pPr>
      <w:r>
        <w:t>•</w:t>
      </w:r>
      <w:r>
        <w:tab/>
        <w:t xml:space="preserve">dawna szkoła – obok przedszkola, budynek murowany, parterowy na rzucie prostokąta </w:t>
      </w:r>
    </w:p>
    <w:p w:rsidR="00010686" w:rsidRDefault="00010686" w:rsidP="00010686">
      <w:pPr>
        <w:pStyle w:val="Bezodstpw"/>
        <w:tabs>
          <w:tab w:val="left" w:pos="426"/>
        </w:tabs>
        <w:spacing w:line="276" w:lineRule="auto"/>
        <w:jc w:val="both"/>
      </w:pPr>
      <w:r>
        <w:t>z dachem czterospadowym pokrytym dachówką z początku XX wieku;</w:t>
      </w:r>
    </w:p>
    <w:p w:rsidR="00010686" w:rsidRDefault="00010686" w:rsidP="00010686">
      <w:pPr>
        <w:pStyle w:val="Bezodstpw"/>
        <w:tabs>
          <w:tab w:val="left" w:pos="426"/>
        </w:tabs>
        <w:spacing w:line="276" w:lineRule="auto"/>
        <w:jc w:val="both"/>
      </w:pPr>
      <w:r>
        <w:t>•</w:t>
      </w:r>
      <w:r>
        <w:tab/>
        <w:t>dawny Dom Ludowy – murowany, parterowy z dachem dwuspadowym pokrytym dachówką z facjatką na osi od strony frontowej z elewacjami o narożach zaakcentowanych obramieniami;</w:t>
      </w:r>
    </w:p>
    <w:p w:rsidR="00010686" w:rsidRDefault="00010686" w:rsidP="00010686">
      <w:pPr>
        <w:pStyle w:val="Bezodstpw"/>
        <w:tabs>
          <w:tab w:val="left" w:pos="426"/>
        </w:tabs>
        <w:spacing w:line="276" w:lineRule="auto"/>
        <w:jc w:val="both"/>
      </w:pPr>
      <w:r>
        <w:t>•</w:t>
      </w:r>
      <w:r>
        <w:tab/>
        <w:t>drewniana zabudowa mieszkalna z połowy XX wieku, głównie o konstrukcji zrębowej, kilka domów o konstrukcji sumikowo-łętkowej z dachami dwuspadowymi i szczytami ozdobionymi snycerką;</w:t>
      </w:r>
    </w:p>
    <w:p w:rsidR="00010686" w:rsidRDefault="00010686" w:rsidP="00010686">
      <w:pPr>
        <w:pStyle w:val="Bezodstpw"/>
        <w:tabs>
          <w:tab w:val="left" w:pos="426"/>
        </w:tabs>
        <w:spacing w:line="276" w:lineRule="auto"/>
        <w:jc w:val="both"/>
      </w:pPr>
      <w:r>
        <w:t>•</w:t>
      </w:r>
      <w:r>
        <w:tab/>
        <w:t>cmentarz z II wojny światowej, gdzie pochowane są ofiary hitleryzmu z lat 1939-1945, m.in. żołnierze sowieccy z obozu jenieckiego w Wólce Pełkińskiej oraz osoby cywilne</w:t>
      </w:r>
    </w:p>
    <w:p w:rsidR="00010686" w:rsidRDefault="00010686" w:rsidP="00010686">
      <w:pPr>
        <w:pStyle w:val="Bezodstpw"/>
        <w:tabs>
          <w:tab w:val="left" w:pos="426"/>
        </w:tabs>
        <w:spacing w:line="276" w:lineRule="auto"/>
        <w:jc w:val="both"/>
      </w:pPr>
      <w:r>
        <w:t>•</w:t>
      </w:r>
      <w:r>
        <w:tab/>
        <w:t>kopiec usypany w 1910 roku na cześć króla Władysława Jagiełło, który ponoć często tu przebywał wracając z polowań w Puszczy Sandomierskiej.</w:t>
      </w:r>
    </w:p>
    <w:p w:rsidR="00010686" w:rsidRDefault="00010686" w:rsidP="00010686">
      <w:pPr>
        <w:pStyle w:val="Bezodstpw"/>
        <w:spacing w:line="276" w:lineRule="auto"/>
        <w:jc w:val="both"/>
      </w:pPr>
    </w:p>
    <w:p w:rsidR="00010686" w:rsidRDefault="00010686" w:rsidP="00010686">
      <w:pPr>
        <w:pStyle w:val="Bezodstpw"/>
        <w:spacing w:line="276" w:lineRule="auto"/>
        <w:jc w:val="both"/>
      </w:pPr>
      <w:r>
        <w:t xml:space="preserve">Tryńcza </w:t>
      </w:r>
    </w:p>
    <w:p w:rsidR="00010686" w:rsidRDefault="00010686" w:rsidP="00010686">
      <w:pPr>
        <w:pStyle w:val="Bezodstpw"/>
        <w:spacing w:line="276" w:lineRule="auto"/>
        <w:jc w:val="both"/>
      </w:pPr>
      <w:r>
        <w:t xml:space="preserve">W zachowanej zabudowy Tryńczy, wsi o metryce sięgającej XV wieku, obiektami o szczególnym znaczeniu dla historii są: </w:t>
      </w:r>
    </w:p>
    <w:p w:rsidR="00010686" w:rsidRDefault="00010686" w:rsidP="00010686">
      <w:pPr>
        <w:pStyle w:val="Bezodstpw"/>
        <w:tabs>
          <w:tab w:val="left" w:pos="426"/>
        </w:tabs>
        <w:spacing w:line="276" w:lineRule="auto"/>
        <w:jc w:val="both"/>
      </w:pPr>
      <w:r>
        <w:t>•</w:t>
      </w:r>
      <w:r>
        <w:tab/>
        <w:t>zespół kościelny, na który składają się Kościół pod wezwaniem Św. Kazimierza wybudowany w latach 1909 – 1910 o charakterze neogotyckim, ozdobiony współczesną polichromią artysty Bolesława Szpechta z Krakowa; dzwonnica z początku XX wieku; pomniki nagrobne przy kościele;</w:t>
      </w:r>
    </w:p>
    <w:p w:rsidR="00010686" w:rsidRDefault="00010686" w:rsidP="00010686">
      <w:pPr>
        <w:pStyle w:val="Bezodstpw"/>
        <w:tabs>
          <w:tab w:val="left" w:pos="426"/>
        </w:tabs>
        <w:spacing w:line="276" w:lineRule="auto"/>
        <w:jc w:val="both"/>
      </w:pPr>
      <w:r>
        <w:lastRenderedPageBreak/>
        <w:t>•</w:t>
      </w:r>
      <w:r>
        <w:tab/>
        <w:t>pozostałości zespołu dworsko-parkowego, którego niegdyś centralnym punktem był drewniany rozłożysty dwór z gankiem, który w latach 50–tych został całkowicie przebudowany. Zachowany jest stary  XVIII – wieczny spichlerz dworski;</w:t>
      </w:r>
    </w:p>
    <w:p w:rsidR="00010686" w:rsidRDefault="00010686" w:rsidP="00010686">
      <w:pPr>
        <w:pStyle w:val="Bezodstpw"/>
        <w:tabs>
          <w:tab w:val="left" w:pos="426"/>
        </w:tabs>
        <w:spacing w:line="276" w:lineRule="auto"/>
        <w:jc w:val="both"/>
      </w:pPr>
      <w:r>
        <w:t>•</w:t>
      </w:r>
      <w:r>
        <w:tab/>
        <w:t>dworzec kolejowy z początku XX wieku o typowej, charakterystycznej dla małych stacji parterowej bryle, z drewnianym wgłębionym portykiem (obecnie Wólka Małkowa);</w:t>
      </w:r>
    </w:p>
    <w:p w:rsidR="00010686" w:rsidRDefault="00010686" w:rsidP="00010686">
      <w:pPr>
        <w:pStyle w:val="Bezodstpw"/>
        <w:tabs>
          <w:tab w:val="left" w:pos="426"/>
        </w:tabs>
        <w:spacing w:line="276" w:lineRule="auto"/>
        <w:jc w:val="both"/>
      </w:pPr>
      <w:r>
        <w:t>•</w:t>
      </w:r>
      <w:r>
        <w:tab/>
        <w:t>zespół mostu kolejowego na Wisłoku – most z 1898 roku oraz budynek strażnicy na przyczółku mostowym z około 1904 roku o bardzo interesującej i malowniczej bryle w typie średniowiecznych zameczków obronnych;</w:t>
      </w:r>
    </w:p>
    <w:p w:rsidR="00010686" w:rsidRDefault="00010686" w:rsidP="00010686">
      <w:pPr>
        <w:pStyle w:val="Bezodstpw"/>
        <w:tabs>
          <w:tab w:val="left" w:pos="426"/>
        </w:tabs>
        <w:spacing w:line="276" w:lineRule="auto"/>
        <w:jc w:val="both"/>
      </w:pPr>
      <w:r>
        <w:t>•</w:t>
      </w:r>
      <w:r>
        <w:tab/>
        <w:t>zespół zachowanej zabudowy drewnianej na ogół pochodzących z okresu międzywojennego;</w:t>
      </w:r>
    </w:p>
    <w:p w:rsidR="00010686" w:rsidRDefault="00010686" w:rsidP="00010686">
      <w:pPr>
        <w:pStyle w:val="Bezodstpw"/>
        <w:tabs>
          <w:tab w:val="left" w:pos="426"/>
        </w:tabs>
        <w:spacing w:line="276" w:lineRule="auto"/>
        <w:jc w:val="both"/>
      </w:pPr>
      <w:r>
        <w:t>•</w:t>
      </w:r>
      <w:r>
        <w:tab/>
        <w:t>dwie drewniane kapliczki z 1867 roku;</w:t>
      </w:r>
    </w:p>
    <w:p w:rsidR="00010686" w:rsidRDefault="00010686" w:rsidP="00010686">
      <w:pPr>
        <w:pStyle w:val="Bezodstpw"/>
        <w:tabs>
          <w:tab w:val="left" w:pos="426"/>
        </w:tabs>
        <w:spacing w:line="276" w:lineRule="auto"/>
        <w:jc w:val="both"/>
      </w:pPr>
      <w:r>
        <w:t>•</w:t>
      </w:r>
      <w:r>
        <w:tab/>
        <w:t>figura Serca Jezusowego z 1914 roku;</w:t>
      </w:r>
    </w:p>
    <w:p w:rsidR="00010686" w:rsidRDefault="00010686" w:rsidP="00010686">
      <w:pPr>
        <w:pStyle w:val="Bezodstpw"/>
        <w:tabs>
          <w:tab w:val="left" w:pos="426"/>
        </w:tabs>
        <w:spacing w:line="276" w:lineRule="auto"/>
        <w:jc w:val="both"/>
      </w:pPr>
      <w:r>
        <w:t>•</w:t>
      </w:r>
      <w:r>
        <w:tab/>
        <w:t>przednia część budynku Zespołu Szkół w Tryńczy z pierwszej dekady XX wieku;</w:t>
      </w:r>
    </w:p>
    <w:p w:rsidR="00010686" w:rsidRDefault="00010686" w:rsidP="00010686">
      <w:pPr>
        <w:pStyle w:val="Bezodstpw"/>
        <w:tabs>
          <w:tab w:val="left" w:pos="426"/>
        </w:tabs>
        <w:spacing w:line="276" w:lineRule="auto"/>
        <w:jc w:val="both"/>
      </w:pPr>
      <w:r>
        <w:t>•</w:t>
      </w:r>
      <w:r>
        <w:tab/>
        <w:t>most drogowy na rzece Wisłok z czwartej dekady XX wieku.</w:t>
      </w:r>
    </w:p>
    <w:p w:rsidR="00010686" w:rsidRDefault="00010686" w:rsidP="00010686">
      <w:pPr>
        <w:pStyle w:val="Bezodstpw"/>
        <w:jc w:val="both"/>
      </w:pPr>
    </w:p>
    <w:p w:rsidR="00010686" w:rsidRDefault="00010686" w:rsidP="00010686">
      <w:pPr>
        <w:pStyle w:val="Bezodstpw"/>
        <w:jc w:val="both"/>
      </w:pPr>
    </w:p>
    <w:p w:rsidR="00010686" w:rsidRDefault="00010686" w:rsidP="00010686">
      <w:pPr>
        <w:pStyle w:val="Bezodstpw"/>
        <w:spacing w:line="276" w:lineRule="auto"/>
        <w:jc w:val="both"/>
      </w:pPr>
      <w:r>
        <w:t xml:space="preserve">Ubieszyn </w:t>
      </w:r>
    </w:p>
    <w:p w:rsidR="00010686" w:rsidRDefault="00010686" w:rsidP="00010686">
      <w:pPr>
        <w:pStyle w:val="Bezodstpw"/>
        <w:spacing w:line="276" w:lineRule="auto"/>
        <w:jc w:val="both"/>
      </w:pPr>
      <w:r>
        <w:t xml:space="preserve">Wcześniejsze dzieje wsi nie są znane, wydaje się jednak, że podobnie jak i inne miejscowości tego obszaru jej powstanie można datować na XV wiek. Obiekty o znaczeniu historycznym </w:t>
      </w:r>
    </w:p>
    <w:p w:rsidR="00010686" w:rsidRDefault="00010686" w:rsidP="00010686">
      <w:pPr>
        <w:pStyle w:val="Bezodstpw"/>
        <w:spacing w:line="276" w:lineRule="auto"/>
        <w:jc w:val="both"/>
      </w:pPr>
      <w:r>
        <w:t xml:space="preserve">w Ubieszynie to: </w:t>
      </w:r>
    </w:p>
    <w:p w:rsidR="00010686" w:rsidRDefault="00010686" w:rsidP="00010686">
      <w:pPr>
        <w:pStyle w:val="Bezodstpw"/>
        <w:tabs>
          <w:tab w:val="left" w:pos="426"/>
        </w:tabs>
        <w:spacing w:line="276" w:lineRule="auto"/>
        <w:jc w:val="both"/>
      </w:pPr>
      <w:r>
        <w:t>•</w:t>
      </w:r>
      <w:r>
        <w:tab/>
        <w:t>kapliczka drewniana przy szkole z początku XIX wieku;</w:t>
      </w:r>
    </w:p>
    <w:p w:rsidR="00010686" w:rsidRDefault="00010686" w:rsidP="00010686">
      <w:pPr>
        <w:pStyle w:val="Bezodstpw"/>
        <w:tabs>
          <w:tab w:val="left" w:pos="426"/>
        </w:tabs>
        <w:spacing w:line="276" w:lineRule="auto"/>
        <w:jc w:val="both"/>
      </w:pPr>
      <w:r>
        <w:t>•</w:t>
      </w:r>
      <w:r>
        <w:tab/>
        <w:t>kapliczka murowana przy drodze Tryńcza – Sieniawa XIX wieku;</w:t>
      </w:r>
    </w:p>
    <w:p w:rsidR="00010686" w:rsidRDefault="00010686" w:rsidP="00010686">
      <w:pPr>
        <w:pStyle w:val="Bezodstpw"/>
        <w:tabs>
          <w:tab w:val="left" w:pos="426"/>
        </w:tabs>
        <w:spacing w:line="276" w:lineRule="auto"/>
        <w:jc w:val="both"/>
      </w:pPr>
      <w:r>
        <w:t>•</w:t>
      </w:r>
      <w:r>
        <w:tab/>
        <w:t>cmentarz wojenny z I wojny światowej żołnierzy trzech armii: austro-węgierskiej, niemieckiej i rosyjskiej;</w:t>
      </w:r>
    </w:p>
    <w:p w:rsidR="00010686" w:rsidRDefault="00010686" w:rsidP="00010686">
      <w:pPr>
        <w:pStyle w:val="Bezodstpw"/>
        <w:tabs>
          <w:tab w:val="left" w:pos="426"/>
        </w:tabs>
        <w:spacing w:line="276" w:lineRule="auto"/>
        <w:jc w:val="both"/>
      </w:pPr>
      <w:r>
        <w:t>•</w:t>
      </w:r>
      <w:r>
        <w:tab/>
        <w:t>drewniana zabudowa mieszkalna, głównie konstrukcji zrębowej z ostatkami, dachy dwuspadowe ze szczytami ozdobionymi snycerką.</w:t>
      </w:r>
    </w:p>
    <w:p w:rsidR="00010686" w:rsidRDefault="00010686" w:rsidP="00010686">
      <w:pPr>
        <w:pStyle w:val="Bezodstpw"/>
        <w:spacing w:line="276" w:lineRule="auto"/>
        <w:jc w:val="both"/>
      </w:pPr>
    </w:p>
    <w:p w:rsidR="00010686" w:rsidRDefault="00010686" w:rsidP="00010686">
      <w:pPr>
        <w:pStyle w:val="Bezodstpw"/>
        <w:spacing w:line="276" w:lineRule="auto"/>
        <w:jc w:val="both"/>
      </w:pPr>
      <w:r>
        <w:t xml:space="preserve">Wólka Małkowa </w:t>
      </w:r>
    </w:p>
    <w:p w:rsidR="00010686" w:rsidRDefault="00010686" w:rsidP="00010686">
      <w:pPr>
        <w:pStyle w:val="Bezodstpw"/>
        <w:spacing w:line="276" w:lineRule="auto"/>
        <w:jc w:val="both"/>
      </w:pPr>
      <w:r>
        <w:t>Na uwagę w zabudowaniu Wólki Małkowej, również o genezie XV-wiecznej, zasługują:</w:t>
      </w:r>
    </w:p>
    <w:p w:rsidR="00010686" w:rsidRDefault="00010686" w:rsidP="00010686">
      <w:pPr>
        <w:pStyle w:val="Bezodstpw"/>
        <w:tabs>
          <w:tab w:val="left" w:pos="284"/>
          <w:tab w:val="left" w:pos="567"/>
        </w:tabs>
        <w:spacing w:line="276" w:lineRule="auto"/>
        <w:jc w:val="both"/>
      </w:pPr>
      <w:r>
        <w:t>•</w:t>
      </w:r>
      <w:r>
        <w:tab/>
        <w:t>budynek szkoły z lat trzydziestych XX wieku, parterowy, murowany z dachem czterospadowym pokrytym dachówką z narożami zaakcentowanymi boniami;</w:t>
      </w:r>
    </w:p>
    <w:p w:rsidR="00010686" w:rsidRDefault="00010686" w:rsidP="00010686">
      <w:pPr>
        <w:pStyle w:val="Bezodstpw"/>
        <w:tabs>
          <w:tab w:val="left" w:pos="284"/>
          <w:tab w:val="left" w:pos="567"/>
        </w:tabs>
        <w:spacing w:line="276" w:lineRule="auto"/>
        <w:jc w:val="both"/>
      </w:pPr>
      <w:r>
        <w:t>•</w:t>
      </w:r>
      <w:r>
        <w:tab/>
        <w:t>kapliczka murowana z XX wieku, przy głównej drodze;</w:t>
      </w:r>
    </w:p>
    <w:p w:rsidR="00010686" w:rsidRDefault="00010686" w:rsidP="00010686">
      <w:pPr>
        <w:pStyle w:val="Bezodstpw"/>
        <w:tabs>
          <w:tab w:val="left" w:pos="284"/>
          <w:tab w:val="left" w:pos="567"/>
        </w:tabs>
        <w:spacing w:line="276" w:lineRule="auto"/>
        <w:jc w:val="both"/>
      </w:pPr>
      <w:r>
        <w:t>•</w:t>
      </w:r>
      <w:r>
        <w:tab/>
        <w:t>zabudowa mieszkalna drewniana w większości o konstrukcji zrębowej z dachami dwuspadowymi pokrytymi dachówką i szczytami z dekoracją snycerską;</w:t>
      </w:r>
    </w:p>
    <w:p w:rsidR="00010686" w:rsidRDefault="00010686" w:rsidP="00010686">
      <w:pPr>
        <w:pStyle w:val="Bezodstpw"/>
        <w:tabs>
          <w:tab w:val="left" w:pos="284"/>
          <w:tab w:val="left" w:pos="567"/>
        </w:tabs>
        <w:spacing w:line="276" w:lineRule="auto"/>
        <w:jc w:val="both"/>
      </w:pPr>
      <w:r>
        <w:t>•</w:t>
      </w:r>
      <w:r>
        <w:tab/>
        <w:t>cmentarz z I wojny światowej kryjący poległych żołnierzy armii austro-węgierskiej, niemieckiej i rosyjskiej.</w:t>
      </w:r>
    </w:p>
    <w:p w:rsidR="00010686" w:rsidRDefault="00010686" w:rsidP="00010686">
      <w:pPr>
        <w:pStyle w:val="Bezodstpw"/>
        <w:spacing w:line="276" w:lineRule="auto"/>
        <w:jc w:val="both"/>
      </w:pPr>
    </w:p>
    <w:p w:rsidR="00010686" w:rsidRDefault="00010686" w:rsidP="00010686">
      <w:pPr>
        <w:pStyle w:val="Bezodstpw"/>
        <w:spacing w:line="276" w:lineRule="auto"/>
        <w:jc w:val="both"/>
      </w:pPr>
      <w:r>
        <w:t xml:space="preserve">Wólka Ogryzkowa </w:t>
      </w:r>
    </w:p>
    <w:p w:rsidR="00010686" w:rsidRDefault="00010686" w:rsidP="00010686">
      <w:pPr>
        <w:pStyle w:val="Bezodstpw"/>
        <w:spacing w:line="276" w:lineRule="auto"/>
        <w:jc w:val="both"/>
      </w:pPr>
      <w:r>
        <w:t>W zabudowie Wólki Ogryzkowej (dawniej Gryzkowej) na uwagę zasługuje drewniana zabudowa mieszkaniowa z lat trzydziestych XX wieku, głównie o konstrukcji zrębowej z dachami dwuspadowymi pokrytymi dachówką, ze szczytami ozdobionymi snycerką.</w:t>
      </w:r>
    </w:p>
    <w:p w:rsidR="00010686" w:rsidRDefault="00010686" w:rsidP="00010686">
      <w:pPr>
        <w:pStyle w:val="Bezodstpw"/>
        <w:spacing w:line="276" w:lineRule="auto"/>
        <w:jc w:val="both"/>
      </w:pPr>
    </w:p>
    <w:p w:rsidR="00010686" w:rsidRDefault="00010686" w:rsidP="00010686">
      <w:pPr>
        <w:pStyle w:val="Bezodstpw"/>
        <w:spacing w:line="276" w:lineRule="auto"/>
        <w:ind w:firstLine="708"/>
        <w:jc w:val="both"/>
      </w:pPr>
      <w:r>
        <w:t xml:space="preserve">Do infrastruktury kultury w gminie Tryńcza zalicza się również nowsze budynki pełniące rolę gminnego i wiejskich domów kultury. </w:t>
      </w:r>
    </w:p>
    <w:p w:rsidR="00010686" w:rsidRDefault="00010686" w:rsidP="00010686">
      <w:pPr>
        <w:pStyle w:val="Bezodstpw"/>
        <w:spacing w:line="276" w:lineRule="auto"/>
        <w:jc w:val="both"/>
      </w:pPr>
    </w:p>
    <w:p w:rsidR="00010686" w:rsidRDefault="00010686" w:rsidP="00010686">
      <w:pPr>
        <w:pStyle w:val="Bezodstpw"/>
        <w:spacing w:line="276" w:lineRule="auto"/>
        <w:ind w:firstLine="708"/>
        <w:jc w:val="both"/>
      </w:pPr>
      <w:r>
        <w:lastRenderedPageBreak/>
        <w:t>Trynieckie Centrum Kultury jest gminną instytucją kultury,  istniejącą nieprzerwanie od roku 1973. Od roku 2003 posiada swą nową siedzibę w miejscowości Tryńcza. Przy Trynieckim Centrum Kultury działają zespoły artystyczne, kluby sportowe, Koła Gospodyń Wiejskich i młodzieżowe koła zainteresowań. W Gminie działają liczne zespoły ludowe kultywujące lokalny folklor i tradycje m.in.: Ludowy Zespół Śpiewaczy „Dolanie” z Gniewczyny Trynieckiej działający od 1980 roku, Zespół Piosenki Biesiadnej „Jagiellanie” z Jagiełły powstały w roku 2005, Kapela Ludowa działająca od roku 1993 oraz Młodzieżowa Orkiestra Dęta z Tryńczy, która powstała w 1983 roku. Natomiast z młodzieżowych zespołów na uwagę zasługują: zespół wokalny „HIT” z Gorzyc i zespół taneczny „Just Dance”. Mieszkańcy Gminy uczestniczą w wielu cyklicznych imprezach kulturalnych i sportowych. Największą z nich są „Dni Gminy Tryńcza”, „Przegląd Piosenki Biesiadnej”, „Rozgrywki Piłkarskie O Puchar Wójta Gminy”, „Dożynki Gminne”.</w:t>
      </w:r>
    </w:p>
    <w:p w:rsidR="00010686" w:rsidRDefault="00010686" w:rsidP="00010686">
      <w:pPr>
        <w:pStyle w:val="Bezodstpw"/>
        <w:spacing w:line="276" w:lineRule="auto"/>
        <w:ind w:firstLine="708"/>
        <w:jc w:val="both"/>
      </w:pPr>
    </w:p>
    <w:p w:rsidR="00010686" w:rsidRDefault="00010686" w:rsidP="00010686">
      <w:pPr>
        <w:pStyle w:val="Bezodstpw"/>
        <w:spacing w:line="276" w:lineRule="auto"/>
        <w:ind w:firstLine="708"/>
        <w:jc w:val="both"/>
      </w:pPr>
      <w:r>
        <w:t>Do zadań TCK należy działalność w zakresie tworzenia, upowszechniania i ochrony kultury wśród społeczności gminnej, a w szczególności poprzez:</w:t>
      </w:r>
    </w:p>
    <w:p w:rsidR="00010686" w:rsidRDefault="00010686" w:rsidP="00010686">
      <w:pPr>
        <w:pStyle w:val="Bezodstpw"/>
        <w:spacing w:line="276" w:lineRule="auto"/>
        <w:jc w:val="both"/>
      </w:pPr>
      <w:r>
        <w:t>•</w:t>
      </w:r>
      <w:r>
        <w:tab/>
        <w:t>edukację kulturalną i wychowanie poprzez sztukę,</w:t>
      </w:r>
    </w:p>
    <w:p w:rsidR="00010686" w:rsidRDefault="00010686" w:rsidP="00010686">
      <w:pPr>
        <w:pStyle w:val="Bezodstpw"/>
        <w:spacing w:line="276" w:lineRule="auto"/>
        <w:jc w:val="both"/>
      </w:pPr>
      <w:r>
        <w:t>•</w:t>
      </w:r>
      <w:r>
        <w:tab/>
        <w:t>tworzenie warunków dla rozwoju amatorskiego ruchu artystycznego oraz zainteresowanie wiedzą i sztuką,</w:t>
      </w:r>
    </w:p>
    <w:p w:rsidR="00010686" w:rsidRDefault="00010686" w:rsidP="00010686">
      <w:pPr>
        <w:pStyle w:val="Bezodstpw"/>
        <w:spacing w:line="276" w:lineRule="auto"/>
        <w:jc w:val="both"/>
      </w:pPr>
      <w:r>
        <w:t>•</w:t>
      </w:r>
      <w:r>
        <w:tab/>
        <w:t>tworzenie warunków dla rozwoju folkloru, a także rękodzieła ludowego i artystycznego,</w:t>
      </w:r>
    </w:p>
    <w:p w:rsidR="00010686" w:rsidRDefault="00010686" w:rsidP="00010686">
      <w:pPr>
        <w:pStyle w:val="Bezodstpw"/>
        <w:spacing w:line="276" w:lineRule="auto"/>
        <w:jc w:val="both"/>
      </w:pPr>
      <w:r>
        <w:t>•</w:t>
      </w:r>
      <w:r>
        <w:tab/>
        <w:t>rozpoznawanie, rozbudzanie i zaspokajanie potrzeb oraz zainteresowań kulturalnych,</w:t>
      </w:r>
    </w:p>
    <w:p w:rsidR="00010686" w:rsidRDefault="00010686" w:rsidP="00010686">
      <w:pPr>
        <w:pStyle w:val="Bezodstpw"/>
        <w:spacing w:line="276" w:lineRule="auto"/>
        <w:jc w:val="both"/>
      </w:pPr>
      <w:r>
        <w:t>•</w:t>
      </w:r>
      <w:r>
        <w:tab/>
        <w:t>współpracę ze społecznym ruchem kulturalnym i udzielanie pomocy organizacyjnej, merytorycznej, a także repertuarowej,</w:t>
      </w:r>
    </w:p>
    <w:p w:rsidR="00010686" w:rsidRDefault="00010686" w:rsidP="00010686">
      <w:pPr>
        <w:pStyle w:val="Bezodstpw"/>
        <w:spacing w:line="276" w:lineRule="auto"/>
        <w:jc w:val="both"/>
      </w:pPr>
      <w:r>
        <w:t>•</w:t>
      </w:r>
      <w:r>
        <w:tab/>
        <w:t>otaczanie opieką wszelkich wartościowych form, dotyczących zachowania tożsamości narodowej, w tym patriotycznej,</w:t>
      </w:r>
    </w:p>
    <w:p w:rsidR="00010686" w:rsidRDefault="00010686" w:rsidP="00010686">
      <w:pPr>
        <w:pStyle w:val="Bezodstpw"/>
        <w:spacing w:line="276" w:lineRule="auto"/>
        <w:jc w:val="both"/>
      </w:pPr>
      <w:r>
        <w:t xml:space="preserve">Trynieckie Centrum Kultury przyczynia się do rozwoju i upowszechniania kultury wśród dzieci, młodzieży i dorosłych. Stwarza warunki do kształtowania, rozwijania </w:t>
      </w:r>
    </w:p>
    <w:p w:rsidR="00010686" w:rsidRDefault="00010686" w:rsidP="00010686">
      <w:pPr>
        <w:pStyle w:val="Bezodstpw"/>
        <w:spacing w:line="276" w:lineRule="auto"/>
        <w:jc w:val="both"/>
      </w:pPr>
      <w:r>
        <w:t>i realizacji różnorakich pasji. Oprócz oferty skierowanej dla dzieci i młodzieży (jak np. teatr, tańce ludowe, nowoczesne i towarzyskie, grupa wokalna, czy pracownia plastyczna) Centrum otwiera się również na  potrzeby i problemy ludzi starszych i niepełnosprawnych – stąd inicjatywy w postaci grupy teatralnej dorosłych, klubu miłośników nordic walking, kursu tańca towarzyskiego, klubu poetów, klubu seniora, klubu numizmatyków, czy też spotkań kombatantów.</w:t>
      </w:r>
    </w:p>
    <w:p w:rsidR="00010686" w:rsidRDefault="00010686" w:rsidP="00010686">
      <w:pPr>
        <w:pStyle w:val="Bezodstpw"/>
        <w:spacing w:line="276" w:lineRule="auto"/>
        <w:jc w:val="both"/>
      </w:pPr>
    </w:p>
    <w:p w:rsidR="00010686" w:rsidRDefault="00BB55E0" w:rsidP="00BB55E0">
      <w:pPr>
        <w:pStyle w:val="Bezodstpw"/>
        <w:ind w:firstLine="708"/>
        <w:jc w:val="both"/>
      </w:pPr>
      <w:r>
        <w:t>Działalność organizacji pozarządowych oraz inicjatyw społecznych wspierana jest przez sieć funkcjonujących w Gminie dziewięciu wiejskich domów kultury w miejscowościach: Tryńcza, Głogowiec, Gniewczyna Łańcucka, Gniewczyna Tryniecka, Jagiełła, Ubieszyn, Gorzyce, Wólka Małkowa, Wólka Ogryzkowa.</w:t>
      </w:r>
    </w:p>
    <w:p w:rsidR="00BB55E0" w:rsidRDefault="00BB55E0" w:rsidP="00BB55E0">
      <w:pPr>
        <w:pStyle w:val="Bezodstpw"/>
        <w:ind w:firstLine="708"/>
        <w:jc w:val="both"/>
      </w:pPr>
    </w:p>
    <w:p w:rsidR="00010686" w:rsidRDefault="00010686" w:rsidP="00010686">
      <w:pPr>
        <w:pStyle w:val="Legenda"/>
      </w:pPr>
      <w:bookmarkStart w:id="43" w:name="_Toc495887797"/>
      <w:r>
        <w:t xml:space="preserve">Tabela </w:t>
      </w:r>
      <w:r w:rsidR="00172343">
        <w:fldChar w:fldCharType="begin"/>
      </w:r>
      <w:r w:rsidR="00172343">
        <w:instrText xml:space="preserve"> SEQ Tabela \* ARABIC </w:instrText>
      </w:r>
      <w:r w:rsidR="00172343">
        <w:fldChar w:fldCharType="separate"/>
      </w:r>
      <w:r w:rsidR="00D67FEC">
        <w:rPr>
          <w:noProof/>
        </w:rPr>
        <w:t>8</w:t>
      </w:r>
      <w:r w:rsidR="00172343">
        <w:rPr>
          <w:noProof/>
        </w:rPr>
        <w:fldChar w:fldCharType="end"/>
      </w:r>
      <w:r>
        <w:t xml:space="preserve"> </w:t>
      </w:r>
      <w:r w:rsidR="006E6414">
        <w:t>Stałe p</w:t>
      </w:r>
      <w:r>
        <w:t xml:space="preserve">lanowe zajęcia realizowane w  </w:t>
      </w:r>
      <w:r w:rsidR="00BB55E0">
        <w:t xml:space="preserve">wybranych </w:t>
      </w:r>
      <w:r>
        <w:t>placówkach kultury w Gminie Tryńcza</w:t>
      </w:r>
      <w:bookmarkEnd w:id="43"/>
    </w:p>
    <w:tbl>
      <w:tblPr>
        <w:tblStyle w:val="Tabelasiatki5ciemnaakcent32"/>
        <w:tblW w:w="0" w:type="auto"/>
        <w:tblLook w:val="04A0" w:firstRow="1" w:lastRow="0" w:firstColumn="1" w:lastColumn="0" w:noHBand="0" w:noVBand="1"/>
      </w:tblPr>
      <w:tblGrid>
        <w:gridCol w:w="2660"/>
        <w:gridCol w:w="6520"/>
      </w:tblGrid>
      <w:tr w:rsidR="00010686" w:rsidTr="00195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010686" w:rsidRDefault="00010686" w:rsidP="00010686">
            <w:r>
              <w:t>TCK Tryńcza</w:t>
            </w:r>
          </w:p>
        </w:tc>
        <w:tc>
          <w:tcPr>
            <w:tcW w:w="6520" w:type="dxa"/>
          </w:tcPr>
          <w:p w:rsidR="00010686" w:rsidRDefault="00010686" w:rsidP="00010686">
            <w:pPr>
              <w:cnfStyle w:val="100000000000" w:firstRow="1" w:lastRow="0" w:firstColumn="0" w:lastColumn="0" w:oddVBand="0" w:evenVBand="0" w:oddHBand="0" w:evenHBand="0" w:firstRowFirstColumn="0" w:firstRowLastColumn="0" w:lastRowFirstColumn="0" w:lastRowLastColumn="0"/>
            </w:pPr>
            <w:r>
              <w:t>nauka gry na instrumentach dętych (początkujący i średniozaawansowani)</w:t>
            </w:r>
          </w:p>
          <w:p w:rsidR="00010686" w:rsidRDefault="00010686" w:rsidP="00010686">
            <w:pPr>
              <w:cnfStyle w:val="100000000000" w:firstRow="1" w:lastRow="0" w:firstColumn="0" w:lastColumn="0" w:oddVBand="0" w:evenVBand="0" w:oddHBand="0" w:evenHBand="0" w:firstRowFirstColumn="0" w:firstRowLastColumn="0" w:lastRowFirstColumn="0" w:lastRowLastColumn="0"/>
            </w:pPr>
            <w:r>
              <w:t>nauka gry na puzonach i tubach</w:t>
            </w:r>
          </w:p>
          <w:p w:rsidR="00010686" w:rsidRDefault="00010686" w:rsidP="00010686">
            <w:pPr>
              <w:cnfStyle w:val="100000000000" w:firstRow="1" w:lastRow="0" w:firstColumn="0" w:lastColumn="0" w:oddVBand="0" w:evenVBand="0" w:oddHBand="0" w:evenHBand="0" w:firstRowFirstColumn="0" w:firstRowLastColumn="0" w:lastRowFirstColumn="0" w:lastRowLastColumn="0"/>
            </w:pPr>
            <w:r>
              <w:t xml:space="preserve">nauka gry na trąbkach </w:t>
            </w:r>
          </w:p>
          <w:p w:rsidR="00010686" w:rsidRDefault="00010686" w:rsidP="00010686">
            <w:pPr>
              <w:cnfStyle w:val="100000000000" w:firstRow="1" w:lastRow="0" w:firstColumn="0" w:lastColumn="0" w:oddVBand="0" w:evenVBand="0" w:oddHBand="0" w:evenHBand="0" w:firstRowFirstColumn="0" w:firstRowLastColumn="0" w:lastRowFirstColumn="0" w:lastRowLastColumn="0"/>
            </w:pPr>
            <w:r>
              <w:t>nauka gry (saksofon)</w:t>
            </w:r>
          </w:p>
          <w:p w:rsidR="00010686" w:rsidRDefault="00010686" w:rsidP="00010686">
            <w:pPr>
              <w:cnfStyle w:val="100000000000" w:firstRow="1" w:lastRow="0" w:firstColumn="0" w:lastColumn="0" w:oddVBand="0" w:evenVBand="0" w:oddHBand="0" w:evenHBand="0" w:firstRowFirstColumn="0" w:firstRowLastColumn="0" w:lastRowFirstColumn="0" w:lastRowLastColumn="0"/>
            </w:pPr>
            <w:r>
              <w:t>zajęcia wokalne z młodzieżą</w:t>
            </w:r>
          </w:p>
          <w:p w:rsidR="00010686" w:rsidRDefault="00010686" w:rsidP="00010686">
            <w:pPr>
              <w:cnfStyle w:val="100000000000" w:firstRow="1" w:lastRow="0" w:firstColumn="0" w:lastColumn="0" w:oddVBand="0" w:evenVBand="0" w:oddHBand="0" w:evenHBand="0" w:firstRowFirstColumn="0" w:firstRowLastColumn="0" w:lastRowFirstColumn="0" w:lastRowLastColumn="0"/>
            </w:pPr>
            <w:r>
              <w:t>próby  Młodzieżowej Orkiestry Dętej</w:t>
            </w:r>
          </w:p>
          <w:p w:rsidR="00010686" w:rsidRDefault="00010686" w:rsidP="00010686">
            <w:pPr>
              <w:cnfStyle w:val="100000000000" w:firstRow="1" w:lastRow="0" w:firstColumn="0" w:lastColumn="0" w:oddVBand="0" w:evenVBand="0" w:oddHBand="0" w:evenHBand="0" w:firstRowFirstColumn="0" w:firstRowLastColumn="0" w:lastRowFirstColumn="0" w:lastRowLastColumn="0"/>
            </w:pPr>
            <w:r>
              <w:t>próby Chóru</w:t>
            </w:r>
          </w:p>
        </w:tc>
      </w:tr>
      <w:tr w:rsidR="00010686"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010686" w:rsidRDefault="00010686" w:rsidP="00010686">
            <w:r>
              <w:t xml:space="preserve">WDK </w:t>
            </w:r>
            <w:r w:rsidR="00BB55E0">
              <w:t>Gniewczyna</w:t>
            </w:r>
            <w:r>
              <w:t xml:space="preserve"> Łańcucka</w:t>
            </w:r>
          </w:p>
        </w:tc>
        <w:tc>
          <w:tcPr>
            <w:tcW w:w="6520" w:type="dxa"/>
          </w:tcPr>
          <w:p w:rsidR="00010686" w:rsidRDefault="00010686" w:rsidP="00010686">
            <w:pPr>
              <w:cnfStyle w:val="000000100000" w:firstRow="0" w:lastRow="0" w:firstColumn="0" w:lastColumn="0" w:oddVBand="0" w:evenVBand="0" w:oddHBand="1" w:evenHBand="0" w:firstRowFirstColumn="0" w:firstRowLastColumn="0" w:lastRowFirstColumn="0" w:lastRowLastColumn="0"/>
            </w:pPr>
            <w:r w:rsidRPr="00010686">
              <w:t>prób</w:t>
            </w:r>
            <w:r>
              <w:t>y</w:t>
            </w:r>
            <w:r w:rsidRPr="00010686">
              <w:t xml:space="preserve"> Zespołu „H&amp;Z”</w:t>
            </w:r>
          </w:p>
          <w:p w:rsidR="00010686" w:rsidRDefault="00010686" w:rsidP="00010686">
            <w:pPr>
              <w:cnfStyle w:val="000000100000" w:firstRow="0" w:lastRow="0" w:firstColumn="0" w:lastColumn="0" w:oddVBand="0" w:evenVBand="0" w:oddHBand="1" w:evenHBand="0" w:firstRowFirstColumn="0" w:firstRowLastColumn="0" w:lastRowFirstColumn="0" w:lastRowLastColumn="0"/>
            </w:pPr>
            <w:r>
              <w:t>próby Zespołu Śpiewające „Zośki”</w:t>
            </w:r>
          </w:p>
          <w:p w:rsidR="00010686" w:rsidRDefault="00010686" w:rsidP="00010686">
            <w:pPr>
              <w:cnfStyle w:val="000000100000" w:firstRow="0" w:lastRow="0" w:firstColumn="0" w:lastColumn="0" w:oddVBand="0" w:evenVBand="0" w:oddHBand="1" w:evenHBand="0" w:firstRowFirstColumn="0" w:firstRowLastColumn="0" w:lastRowFirstColumn="0" w:lastRowLastColumn="0"/>
            </w:pPr>
            <w:r>
              <w:lastRenderedPageBreak/>
              <w:t>zajęcia rękodzielnicze</w:t>
            </w:r>
          </w:p>
          <w:p w:rsidR="00010686" w:rsidRDefault="00010686" w:rsidP="00010686">
            <w:pPr>
              <w:cnfStyle w:val="000000100000" w:firstRow="0" w:lastRow="0" w:firstColumn="0" w:lastColumn="0" w:oddVBand="0" w:evenVBand="0" w:oddHBand="1" w:evenHBand="0" w:firstRowFirstColumn="0" w:firstRowLastColumn="0" w:lastRowFirstColumn="0" w:lastRowLastColumn="0"/>
            </w:pPr>
            <w:r>
              <w:t>próby  Kapeli Ludowej z Gniewczyny</w:t>
            </w:r>
          </w:p>
        </w:tc>
      </w:tr>
      <w:tr w:rsidR="00010686" w:rsidTr="001957AA">
        <w:tc>
          <w:tcPr>
            <w:cnfStyle w:val="001000000000" w:firstRow="0" w:lastRow="0" w:firstColumn="1" w:lastColumn="0" w:oddVBand="0" w:evenVBand="0" w:oddHBand="0" w:evenHBand="0" w:firstRowFirstColumn="0" w:firstRowLastColumn="0" w:lastRowFirstColumn="0" w:lastRowLastColumn="0"/>
            <w:tcW w:w="2660" w:type="dxa"/>
          </w:tcPr>
          <w:p w:rsidR="00010686" w:rsidRDefault="00010686" w:rsidP="00010686">
            <w:r>
              <w:lastRenderedPageBreak/>
              <w:t>WDK Gniewczyna Tryniecka</w:t>
            </w:r>
          </w:p>
        </w:tc>
        <w:tc>
          <w:tcPr>
            <w:tcW w:w="6520" w:type="dxa"/>
          </w:tcPr>
          <w:p w:rsidR="00010686" w:rsidRDefault="006E6414" w:rsidP="006E6414">
            <w:pPr>
              <w:cnfStyle w:val="000000000000" w:firstRow="0" w:lastRow="0" w:firstColumn="0" w:lastColumn="0" w:oddVBand="0" w:evenVBand="0" w:oddHBand="0" w:evenHBand="0" w:firstRowFirstColumn="0" w:firstRowLastColumn="0" w:lastRowFirstColumn="0" w:lastRowLastColumn="0"/>
            </w:pPr>
            <w:r>
              <w:t>Próby  Zespołu Śpiewaczego „Dolanie” z Gniewczyny Trynieckiej</w:t>
            </w:r>
          </w:p>
        </w:tc>
      </w:tr>
      <w:tr w:rsidR="00010686"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010686" w:rsidRDefault="00010686" w:rsidP="00010686">
            <w:r>
              <w:t>WDK Jagieła</w:t>
            </w:r>
          </w:p>
        </w:tc>
        <w:tc>
          <w:tcPr>
            <w:tcW w:w="6520" w:type="dxa"/>
          </w:tcPr>
          <w:p w:rsidR="00010686" w:rsidRDefault="006E6414" w:rsidP="006E6414">
            <w:pPr>
              <w:cnfStyle w:val="000000100000" w:firstRow="0" w:lastRow="0" w:firstColumn="0" w:lastColumn="0" w:oddVBand="0" w:evenVBand="0" w:oddHBand="1" w:evenHBand="0" w:firstRowFirstColumn="0" w:firstRowLastColumn="0" w:lastRowFirstColumn="0" w:lastRowLastColumn="0"/>
            </w:pPr>
            <w:r>
              <w:t>próby Zespołu Biesiadnego „Jagiellanie”</w:t>
            </w:r>
          </w:p>
          <w:p w:rsidR="006E6414" w:rsidRDefault="006E6414" w:rsidP="006E6414">
            <w:pPr>
              <w:cnfStyle w:val="000000100000" w:firstRow="0" w:lastRow="0" w:firstColumn="0" w:lastColumn="0" w:oddVBand="0" w:evenVBand="0" w:oddHBand="1" w:evenHBand="0" w:firstRowFirstColumn="0" w:firstRowLastColumn="0" w:lastRowFirstColumn="0" w:lastRowLastColumn="0"/>
            </w:pPr>
            <w:r>
              <w:t>próby zespołu wokalnego „Mirabelki” z Jagiełły</w:t>
            </w:r>
          </w:p>
        </w:tc>
      </w:tr>
      <w:tr w:rsidR="00010686" w:rsidTr="001957AA">
        <w:tc>
          <w:tcPr>
            <w:cnfStyle w:val="001000000000" w:firstRow="0" w:lastRow="0" w:firstColumn="1" w:lastColumn="0" w:oddVBand="0" w:evenVBand="0" w:oddHBand="0" w:evenHBand="0" w:firstRowFirstColumn="0" w:firstRowLastColumn="0" w:lastRowFirstColumn="0" w:lastRowLastColumn="0"/>
            <w:tcW w:w="2660" w:type="dxa"/>
          </w:tcPr>
          <w:p w:rsidR="00010686" w:rsidRDefault="00010686" w:rsidP="00010686">
            <w:r>
              <w:t>WDK Gorzyce</w:t>
            </w:r>
          </w:p>
        </w:tc>
        <w:tc>
          <w:tcPr>
            <w:tcW w:w="6520" w:type="dxa"/>
          </w:tcPr>
          <w:p w:rsidR="00010686" w:rsidRDefault="006E6414" w:rsidP="006E6414">
            <w:pPr>
              <w:cnfStyle w:val="000000000000" w:firstRow="0" w:lastRow="0" w:firstColumn="0" w:lastColumn="0" w:oddVBand="0" w:evenVBand="0" w:oddHBand="0" w:evenHBand="0" w:firstRowFirstColumn="0" w:firstRowLastColumn="0" w:lastRowFirstColumn="0" w:lastRowLastColumn="0"/>
            </w:pPr>
            <w:r>
              <w:t xml:space="preserve">próby zespołu wokalnego „TREND” z Gorzyc </w:t>
            </w:r>
            <w:r>
              <w:br/>
              <w:t xml:space="preserve">próby zespołu wokalnego „ASY” z Gorzyc </w:t>
            </w:r>
            <w:r>
              <w:br/>
              <w:t>próby zespołu wokalnego „HIT” z Gorzy</w:t>
            </w:r>
          </w:p>
        </w:tc>
      </w:tr>
    </w:tbl>
    <w:p w:rsidR="00010686" w:rsidRPr="00010686" w:rsidRDefault="006E6414" w:rsidP="006E6414">
      <w:pPr>
        <w:pStyle w:val="Legenda"/>
      </w:pPr>
      <w:r>
        <w:t>Źródło: Informacje ze strony internetowej www.tryncza.eu</w:t>
      </w:r>
    </w:p>
    <w:p w:rsidR="006E6414" w:rsidRPr="009F3755" w:rsidRDefault="006E6414" w:rsidP="006E6414">
      <w:pPr>
        <w:widowControl w:val="0"/>
        <w:autoSpaceDE w:val="0"/>
        <w:autoSpaceDN w:val="0"/>
        <w:adjustRightInd w:val="0"/>
        <w:spacing w:before="100" w:beforeAutospacing="1"/>
        <w:ind w:firstLine="851"/>
        <w:jc w:val="both"/>
        <w:rPr>
          <w:color w:val="000000"/>
        </w:rPr>
      </w:pPr>
      <w:r w:rsidRPr="009F3755">
        <w:rPr>
          <w:color w:val="000000"/>
        </w:rPr>
        <w:t xml:space="preserve">Gminna Biblioteka Publiczna w Tryńczy jest główną biblioteką w Gminie Tryńcza. </w:t>
      </w:r>
      <w:r>
        <w:rPr>
          <w:color w:val="000000"/>
        </w:rPr>
        <w:t>Ponadto na terenie G</w:t>
      </w:r>
      <w:r w:rsidRPr="009F3755">
        <w:rPr>
          <w:color w:val="000000"/>
        </w:rPr>
        <w:t xml:space="preserve">miny </w:t>
      </w:r>
      <w:r>
        <w:rPr>
          <w:color w:val="000000"/>
        </w:rPr>
        <w:t>p</w:t>
      </w:r>
      <w:r w:rsidRPr="009F3755">
        <w:rPr>
          <w:color w:val="000000"/>
        </w:rPr>
        <w:t xml:space="preserve">osiada ona </w:t>
      </w:r>
      <w:r>
        <w:rPr>
          <w:color w:val="000000"/>
        </w:rPr>
        <w:t>następujące</w:t>
      </w:r>
      <w:r w:rsidRPr="009F3755">
        <w:rPr>
          <w:color w:val="000000"/>
        </w:rPr>
        <w:t xml:space="preserve"> filie zlokalizowane w: </w:t>
      </w:r>
    </w:p>
    <w:p w:rsidR="006E6414" w:rsidRPr="009F3755" w:rsidRDefault="006E6414" w:rsidP="006E6414">
      <w:pPr>
        <w:pStyle w:val="Akapitzlist"/>
        <w:widowControl w:val="0"/>
        <w:numPr>
          <w:ilvl w:val="0"/>
          <w:numId w:val="11"/>
        </w:numPr>
        <w:autoSpaceDE w:val="0"/>
        <w:autoSpaceDN w:val="0"/>
        <w:adjustRightInd w:val="0"/>
        <w:spacing w:after="100" w:afterAutospacing="1"/>
        <w:ind w:left="284" w:hanging="284"/>
        <w:jc w:val="both"/>
        <w:rPr>
          <w:color w:val="000000"/>
        </w:rPr>
      </w:pPr>
      <w:r w:rsidRPr="009F3755">
        <w:rPr>
          <w:color w:val="000000"/>
        </w:rPr>
        <w:t xml:space="preserve">Ubieszynie,  </w:t>
      </w:r>
    </w:p>
    <w:p w:rsidR="006E6414" w:rsidRPr="009F3755" w:rsidRDefault="006E6414" w:rsidP="006E6414">
      <w:pPr>
        <w:pStyle w:val="Akapitzlist"/>
        <w:widowControl w:val="0"/>
        <w:numPr>
          <w:ilvl w:val="0"/>
          <w:numId w:val="11"/>
        </w:numPr>
        <w:autoSpaceDE w:val="0"/>
        <w:autoSpaceDN w:val="0"/>
        <w:adjustRightInd w:val="0"/>
        <w:spacing w:before="100" w:beforeAutospacing="1" w:after="100" w:afterAutospacing="1"/>
        <w:ind w:left="284" w:hanging="284"/>
        <w:jc w:val="both"/>
        <w:rPr>
          <w:color w:val="000000"/>
        </w:rPr>
      </w:pPr>
      <w:r w:rsidRPr="009F3755">
        <w:rPr>
          <w:color w:val="000000"/>
        </w:rPr>
        <w:t xml:space="preserve">Gorzycach, </w:t>
      </w:r>
    </w:p>
    <w:p w:rsidR="006E6414" w:rsidRDefault="006E6414" w:rsidP="006E6414">
      <w:pPr>
        <w:pStyle w:val="Akapitzlist"/>
        <w:widowControl w:val="0"/>
        <w:numPr>
          <w:ilvl w:val="0"/>
          <w:numId w:val="11"/>
        </w:numPr>
        <w:autoSpaceDE w:val="0"/>
        <w:autoSpaceDN w:val="0"/>
        <w:adjustRightInd w:val="0"/>
        <w:spacing w:before="100" w:beforeAutospacing="1" w:after="100" w:afterAutospacing="1"/>
        <w:ind w:left="284" w:hanging="284"/>
        <w:jc w:val="both"/>
        <w:rPr>
          <w:color w:val="000000"/>
        </w:rPr>
      </w:pPr>
      <w:r>
        <w:rPr>
          <w:color w:val="000000"/>
        </w:rPr>
        <w:t>Jagielle,</w:t>
      </w:r>
    </w:p>
    <w:p w:rsidR="006E6414" w:rsidRPr="009F3755" w:rsidRDefault="006E6414" w:rsidP="006E6414">
      <w:pPr>
        <w:pStyle w:val="Akapitzlist"/>
        <w:widowControl w:val="0"/>
        <w:numPr>
          <w:ilvl w:val="0"/>
          <w:numId w:val="11"/>
        </w:numPr>
        <w:autoSpaceDE w:val="0"/>
        <w:autoSpaceDN w:val="0"/>
        <w:adjustRightInd w:val="0"/>
        <w:spacing w:before="100" w:beforeAutospacing="1" w:after="100" w:afterAutospacing="1"/>
        <w:ind w:left="284" w:hanging="284"/>
        <w:jc w:val="both"/>
        <w:rPr>
          <w:color w:val="000000"/>
        </w:rPr>
      </w:pPr>
      <w:r>
        <w:rPr>
          <w:color w:val="000000"/>
        </w:rPr>
        <w:t>Głogowcu,</w:t>
      </w:r>
    </w:p>
    <w:p w:rsidR="006E6414" w:rsidRPr="009F3755" w:rsidRDefault="006E6414" w:rsidP="006E6414">
      <w:pPr>
        <w:pStyle w:val="Akapitzlist"/>
        <w:widowControl w:val="0"/>
        <w:numPr>
          <w:ilvl w:val="0"/>
          <w:numId w:val="11"/>
        </w:numPr>
        <w:autoSpaceDE w:val="0"/>
        <w:autoSpaceDN w:val="0"/>
        <w:adjustRightInd w:val="0"/>
        <w:spacing w:before="100" w:beforeAutospacing="1" w:after="100" w:afterAutospacing="1"/>
        <w:ind w:left="284" w:hanging="284"/>
        <w:jc w:val="both"/>
        <w:rPr>
          <w:color w:val="000000"/>
        </w:rPr>
      </w:pPr>
      <w:r w:rsidRPr="009F3755">
        <w:rPr>
          <w:color w:val="000000"/>
        </w:rPr>
        <w:t xml:space="preserve">Gniewczynie Łańcuckiej. </w:t>
      </w:r>
    </w:p>
    <w:p w:rsidR="006E6414" w:rsidRPr="009F3755" w:rsidRDefault="006E6414" w:rsidP="006E6414">
      <w:pPr>
        <w:widowControl w:val="0"/>
        <w:autoSpaceDE w:val="0"/>
        <w:autoSpaceDN w:val="0"/>
        <w:adjustRightInd w:val="0"/>
        <w:jc w:val="both"/>
        <w:rPr>
          <w:color w:val="000000"/>
        </w:rPr>
      </w:pPr>
      <w:r w:rsidRPr="009F3755">
        <w:rPr>
          <w:color w:val="000000"/>
        </w:rPr>
        <w:t xml:space="preserve">Ponadto działają </w:t>
      </w:r>
      <w:r>
        <w:rPr>
          <w:color w:val="000000"/>
        </w:rPr>
        <w:t>dwa</w:t>
      </w:r>
      <w:r w:rsidRPr="009F3755">
        <w:rPr>
          <w:color w:val="000000"/>
        </w:rPr>
        <w:t xml:space="preserve"> punkty biblioteczne w: </w:t>
      </w:r>
    </w:p>
    <w:p w:rsidR="006E6414" w:rsidRPr="009F3755" w:rsidRDefault="006E6414" w:rsidP="006E6414">
      <w:pPr>
        <w:pStyle w:val="Akapitzlist"/>
        <w:widowControl w:val="0"/>
        <w:numPr>
          <w:ilvl w:val="0"/>
          <w:numId w:val="12"/>
        </w:numPr>
        <w:autoSpaceDE w:val="0"/>
        <w:autoSpaceDN w:val="0"/>
        <w:adjustRightInd w:val="0"/>
        <w:spacing w:after="100" w:afterAutospacing="1"/>
        <w:ind w:left="284" w:hanging="284"/>
        <w:jc w:val="both"/>
        <w:rPr>
          <w:color w:val="000000"/>
        </w:rPr>
      </w:pPr>
      <w:r w:rsidRPr="009F3755">
        <w:rPr>
          <w:color w:val="000000"/>
        </w:rPr>
        <w:t xml:space="preserve">Wólce Małkowej </w:t>
      </w:r>
    </w:p>
    <w:p w:rsidR="006E6414" w:rsidRPr="009F3755" w:rsidRDefault="006E6414" w:rsidP="006E6414">
      <w:pPr>
        <w:pStyle w:val="Akapitzlist"/>
        <w:widowControl w:val="0"/>
        <w:numPr>
          <w:ilvl w:val="0"/>
          <w:numId w:val="12"/>
        </w:numPr>
        <w:autoSpaceDE w:val="0"/>
        <w:autoSpaceDN w:val="0"/>
        <w:adjustRightInd w:val="0"/>
        <w:spacing w:before="100" w:beforeAutospacing="1" w:after="100" w:afterAutospacing="1"/>
        <w:ind w:left="284" w:hanging="284"/>
        <w:jc w:val="both"/>
        <w:rPr>
          <w:color w:val="000000"/>
        </w:rPr>
      </w:pPr>
      <w:r w:rsidRPr="009F3755">
        <w:rPr>
          <w:color w:val="000000"/>
        </w:rPr>
        <w:t xml:space="preserve">Wólce Ogryzkowej. </w:t>
      </w:r>
    </w:p>
    <w:p w:rsidR="006E6414" w:rsidRPr="009F3755" w:rsidRDefault="006E6414" w:rsidP="006E6414">
      <w:pPr>
        <w:widowControl w:val="0"/>
        <w:autoSpaceDE w:val="0"/>
        <w:autoSpaceDN w:val="0"/>
        <w:adjustRightInd w:val="0"/>
        <w:spacing w:before="100" w:beforeAutospacing="1" w:after="100" w:afterAutospacing="1"/>
        <w:jc w:val="both"/>
        <w:rPr>
          <w:color w:val="000000"/>
        </w:rPr>
      </w:pPr>
      <w:r w:rsidRPr="009F3755">
        <w:rPr>
          <w:color w:val="000000"/>
        </w:rPr>
        <w:t>Biblioteka opiekuje się również punktami internetowym</w:t>
      </w:r>
      <w:r>
        <w:rPr>
          <w:color w:val="000000"/>
        </w:rPr>
        <w:t>i w Gniewczynie Łańcuckiej, w </w:t>
      </w:r>
      <w:r w:rsidRPr="009F3755">
        <w:rPr>
          <w:color w:val="000000"/>
        </w:rPr>
        <w:t xml:space="preserve">Gniewczynie Trynieckiej oraz Wioską Internetową w Ubieszynie. </w:t>
      </w:r>
    </w:p>
    <w:p w:rsidR="006E6414" w:rsidRPr="0079532F" w:rsidRDefault="006E6414" w:rsidP="006E6414">
      <w:pPr>
        <w:spacing w:after="225"/>
        <w:ind w:firstLine="851"/>
        <w:jc w:val="both"/>
        <w:rPr>
          <w:rFonts w:eastAsia="Times New Roman"/>
          <w:szCs w:val="28"/>
        </w:rPr>
      </w:pPr>
      <w:r w:rsidRPr="009F3755">
        <w:rPr>
          <w:color w:val="000000"/>
        </w:rPr>
        <w:t xml:space="preserve">W ostatnich latach biblioteka zaangażowała się również w organizacje imprez </w:t>
      </w:r>
      <w:r>
        <w:rPr>
          <w:color w:val="000000"/>
        </w:rPr>
        <w:br/>
      </w:r>
      <w:r w:rsidRPr="009F3755">
        <w:rPr>
          <w:color w:val="000000"/>
        </w:rPr>
        <w:t>i turniejów sportowych, m.in. turnieju tenis</w:t>
      </w:r>
      <w:r>
        <w:rPr>
          <w:color w:val="000000"/>
        </w:rPr>
        <w:t>a</w:t>
      </w:r>
      <w:r w:rsidRPr="009F3755">
        <w:rPr>
          <w:color w:val="000000"/>
        </w:rPr>
        <w:t xml:space="preserve"> stołowego o Rakietkę Wójta Gminy Tryńcza, czy Biblioteczn</w:t>
      </w:r>
      <w:r>
        <w:rPr>
          <w:color w:val="000000"/>
        </w:rPr>
        <w:t>y</w:t>
      </w:r>
      <w:r w:rsidRPr="009F3755">
        <w:rPr>
          <w:color w:val="000000"/>
        </w:rPr>
        <w:t xml:space="preserve"> Turniej Piłki Siatkowej. Od maja 2009 roku Biblioteka sprawuje również opiekę nad galerią sztuki „Pod Aniołem” im.</w:t>
      </w:r>
      <w:r>
        <w:rPr>
          <w:color w:val="000000"/>
        </w:rPr>
        <w:t xml:space="preserve"> Stanisława Perykaszy w Tryńczy –</w:t>
      </w:r>
      <w:r w:rsidRPr="009F3755">
        <w:rPr>
          <w:color w:val="000000"/>
        </w:rPr>
        <w:t xml:space="preserve"> </w:t>
      </w:r>
      <w:r>
        <w:rPr>
          <w:color w:val="000000"/>
        </w:rPr>
        <w:t xml:space="preserve">lokalnego </w:t>
      </w:r>
      <w:r>
        <w:rPr>
          <w:rFonts w:eastAsia="Times New Roman"/>
          <w:szCs w:val="28"/>
        </w:rPr>
        <w:t>artysty</w:t>
      </w:r>
      <w:r w:rsidRPr="00331C9E">
        <w:rPr>
          <w:rFonts w:eastAsia="Times New Roman"/>
          <w:szCs w:val="28"/>
        </w:rPr>
        <w:t xml:space="preserve"> rzeźbiarz</w:t>
      </w:r>
      <w:r>
        <w:rPr>
          <w:rFonts w:eastAsia="Times New Roman"/>
          <w:szCs w:val="28"/>
        </w:rPr>
        <w:t>a</w:t>
      </w:r>
      <w:r w:rsidRPr="00331C9E">
        <w:rPr>
          <w:rFonts w:eastAsia="Times New Roman"/>
          <w:szCs w:val="28"/>
        </w:rPr>
        <w:t>, malarz</w:t>
      </w:r>
      <w:r>
        <w:rPr>
          <w:rFonts w:eastAsia="Times New Roman"/>
          <w:szCs w:val="28"/>
        </w:rPr>
        <w:t>a i poety</w:t>
      </w:r>
      <w:r w:rsidRPr="00331C9E">
        <w:rPr>
          <w:rFonts w:eastAsia="Times New Roman"/>
          <w:szCs w:val="28"/>
        </w:rPr>
        <w:t>, bohater</w:t>
      </w:r>
      <w:r>
        <w:rPr>
          <w:rFonts w:eastAsia="Times New Roman"/>
          <w:szCs w:val="28"/>
        </w:rPr>
        <w:t>a</w:t>
      </w:r>
      <w:r w:rsidRPr="00331C9E">
        <w:rPr>
          <w:rFonts w:eastAsia="Times New Roman"/>
          <w:szCs w:val="28"/>
        </w:rPr>
        <w:t xml:space="preserve"> wielu śmiesznych, ciepłych opowieści, malarz aniołów</w:t>
      </w:r>
      <w:r>
        <w:rPr>
          <w:rFonts w:eastAsia="Times New Roman"/>
          <w:szCs w:val="28"/>
        </w:rPr>
        <w:t>. U</w:t>
      </w:r>
      <w:r w:rsidRPr="00331C9E">
        <w:rPr>
          <w:rFonts w:eastAsia="Times New Roman"/>
          <w:szCs w:val="28"/>
        </w:rPr>
        <w:t xml:space="preserve">rodził się </w:t>
      </w:r>
      <w:r>
        <w:rPr>
          <w:rFonts w:eastAsia="Times New Roman"/>
          <w:szCs w:val="28"/>
        </w:rPr>
        <w:t>on 16.04.</w:t>
      </w:r>
      <w:r w:rsidRPr="00331C9E">
        <w:rPr>
          <w:rFonts w:eastAsia="Times New Roman"/>
          <w:szCs w:val="28"/>
        </w:rPr>
        <w:t xml:space="preserve">1947 w Woli Buchowskiej niedaleko Tryńczy. Stworzył okazały kompleks rzeźb gipsowych dla Klasztoru w Leżajsku oraz do Kościoła w Jagielle Osiem lat po ukończeniu studiów, 10 października 1983 roku, został zatrudniony jako instruktor plastyki w </w:t>
      </w:r>
      <w:r>
        <w:rPr>
          <w:rFonts w:eastAsia="Times New Roman"/>
          <w:szCs w:val="28"/>
        </w:rPr>
        <w:t>GOK</w:t>
      </w:r>
      <w:r w:rsidRPr="00331C9E">
        <w:rPr>
          <w:rFonts w:eastAsia="Times New Roman"/>
          <w:szCs w:val="28"/>
        </w:rPr>
        <w:t xml:space="preserve"> w Tr</w:t>
      </w:r>
      <w:r w:rsidR="00C06E9C">
        <w:rPr>
          <w:rFonts w:eastAsia="Times New Roman"/>
          <w:szCs w:val="28"/>
        </w:rPr>
        <w:t>yńczy z siedzibą w Gorzycach. W </w:t>
      </w:r>
      <w:r w:rsidRPr="00331C9E">
        <w:rPr>
          <w:rFonts w:eastAsia="Times New Roman"/>
          <w:szCs w:val="28"/>
        </w:rPr>
        <w:t xml:space="preserve">okresie pracy w GOK powołał do istnienia Teatrzyk Amatorski. W okresie pracy w  GOK tymczasowo pełnił obowiązki dyrektora placówki. Przez pięć lat działał również wraz z lokalnymi artystami </w:t>
      </w:r>
      <w:r>
        <w:rPr>
          <w:rFonts w:eastAsia="Times New Roman"/>
          <w:szCs w:val="28"/>
        </w:rPr>
        <w:br/>
        <w:t xml:space="preserve">w   grupie „Przykopa”, </w:t>
      </w:r>
      <w:r w:rsidRPr="00331C9E">
        <w:rPr>
          <w:rFonts w:eastAsia="Times New Roman"/>
          <w:szCs w:val="28"/>
        </w:rPr>
        <w:t>obejm</w:t>
      </w:r>
      <w:r>
        <w:rPr>
          <w:rFonts w:eastAsia="Times New Roman"/>
          <w:szCs w:val="28"/>
        </w:rPr>
        <w:t>ującej</w:t>
      </w:r>
      <w:r w:rsidRPr="00331C9E">
        <w:rPr>
          <w:rFonts w:eastAsia="Times New Roman"/>
          <w:szCs w:val="28"/>
        </w:rPr>
        <w:t xml:space="preserve"> działalność artystyczną, a także teatralną. Pod jej egidą powstał amato</w:t>
      </w:r>
      <w:r>
        <w:rPr>
          <w:rFonts w:eastAsia="Times New Roman"/>
          <w:szCs w:val="28"/>
        </w:rPr>
        <w:t>rski zespół teatralny „Tułacze”</w:t>
      </w:r>
      <w:r w:rsidRPr="00331C9E">
        <w:rPr>
          <w:rFonts w:eastAsia="Times New Roman"/>
          <w:szCs w:val="28"/>
        </w:rPr>
        <w:t>. Zmarł w wieku 55 lat. 15 maja 2009 jego imieniem została nazwana Galeria Sztuki „Pod Aniołem”, znajdująca się w budynku Urzędu Gminy w Tryńczy.</w:t>
      </w:r>
    </w:p>
    <w:p w:rsidR="00010686" w:rsidRDefault="00010686" w:rsidP="00010686">
      <w:pPr>
        <w:pStyle w:val="Nagwek3"/>
      </w:pPr>
      <w:bookmarkStart w:id="44" w:name="_Toc496558066"/>
      <w:r>
        <w:t>Infrastruktura oświaty</w:t>
      </w:r>
      <w:bookmarkEnd w:id="44"/>
    </w:p>
    <w:p w:rsidR="006E6414" w:rsidRPr="00F464FD" w:rsidRDefault="006E6414" w:rsidP="006E6414">
      <w:pPr>
        <w:spacing w:before="240"/>
        <w:ind w:firstLine="851"/>
        <w:jc w:val="both"/>
      </w:pPr>
      <w:r w:rsidRPr="00F464FD">
        <w:t xml:space="preserve">Na terenie </w:t>
      </w:r>
      <w:r>
        <w:t>G</w:t>
      </w:r>
      <w:r w:rsidRPr="00F464FD">
        <w:t>miny działa pięć placówek edukacyjnych prowadzonych przez Gminę Tryńcza, do których łącznie w roku szkolnym 2014/</w:t>
      </w:r>
      <w:r>
        <w:t>20</w:t>
      </w:r>
      <w:r w:rsidRPr="00F464FD">
        <w:t>15 uczęszczało 1.043 uczniów. Wśród nich znajdują się</w:t>
      </w:r>
    </w:p>
    <w:p w:rsidR="006E6414" w:rsidRPr="006E6414" w:rsidRDefault="006E6414" w:rsidP="006E6414">
      <w:pPr>
        <w:pStyle w:val="Akapitzlist"/>
        <w:numPr>
          <w:ilvl w:val="0"/>
          <w:numId w:val="14"/>
        </w:numPr>
        <w:spacing w:after="0"/>
        <w:jc w:val="both"/>
      </w:pPr>
      <w:r w:rsidRPr="006E6414">
        <w:t xml:space="preserve">Szkoła Podstawowa im. gen. A.Chruściela w Gniewczynie Łańcuckiej </w:t>
      </w:r>
    </w:p>
    <w:p w:rsidR="006E6414" w:rsidRPr="006E6414" w:rsidRDefault="006E6414" w:rsidP="006E6414">
      <w:pPr>
        <w:pStyle w:val="Akapitzlist"/>
        <w:numPr>
          <w:ilvl w:val="0"/>
          <w:numId w:val="14"/>
        </w:numPr>
        <w:spacing w:after="0"/>
        <w:jc w:val="both"/>
      </w:pPr>
      <w:r w:rsidRPr="006E6414">
        <w:rPr>
          <w:rFonts w:eastAsia="Times New Roman"/>
        </w:rPr>
        <w:lastRenderedPageBreak/>
        <w:t xml:space="preserve">Szkoła Podstawowa im. Św. J. Kantego w Tryńczy </w:t>
      </w:r>
    </w:p>
    <w:p w:rsidR="006E6414" w:rsidRPr="006E6414" w:rsidRDefault="006E6414" w:rsidP="006E6414">
      <w:pPr>
        <w:pStyle w:val="Akapitzlist"/>
        <w:numPr>
          <w:ilvl w:val="0"/>
          <w:numId w:val="14"/>
        </w:numPr>
        <w:spacing w:after="0"/>
        <w:jc w:val="both"/>
      </w:pPr>
      <w:r w:rsidRPr="006E6414">
        <w:t>Szkoła Podstawowa im. Ojca Św. Jana Pawła II w Gorzycach,</w:t>
      </w:r>
    </w:p>
    <w:p w:rsidR="006E6414" w:rsidRPr="006E6414" w:rsidRDefault="006E6414" w:rsidP="006E6414">
      <w:pPr>
        <w:pStyle w:val="Akapitzlist"/>
        <w:numPr>
          <w:ilvl w:val="0"/>
          <w:numId w:val="14"/>
        </w:numPr>
        <w:spacing w:after="0"/>
        <w:jc w:val="both"/>
      </w:pPr>
      <w:r w:rsidRPr="006E6414">
        <w:t xml:space="preserve">Zespół Szkoły: Podstawowej i Przedszkola Samorządowego im. Króla Władysława Jagiełły </w:t>
      </w:r>
      <w:r w:rsidR="00C06E9C">
        <w:t>w </w:t>
      </w:r>
      <w:r w:rsidRPr="006E6414">
        <w:t>Jagielle</w:t>
      </w:r>
    </w:p>
    <w:p w:rsidR="006E6414" w:rsidRPr="006E6414" w:rsidRDefault="006E6414" w:rsidP="006E6414">
      <w:pPr>
        <w:pStyle w:val="Akapitzlist"/>
        <w:numPr>
          <w:ilvl w:val="0"/>
          <w:numId w:val="14"/>
        </w:numPr>
        <w:spacing w:after="0"/>
        <w:jc w:val="both"/>
      </w:pPr>
      <w:r w:rsidRPr="006E6414">
        <w:t>Publiczna Szkoła Podstawowa im. Tadeusza Kościuszki w Ubieszynie.</w:t>
      </w:r>
    </w:p>
    <w:p w:rsidR="006E6414" w:rsidRDefault="006E6414" w:rsidP="00301D51">
      <w:pPr>
        <w:pStyle w:val="Bezodstpw"/>
        <w:spacing w:line="276" w:lineRule="auto"/>
        <w:jc w:val="both"/>
      </w:pPr>
    </w:p>
    <w:p w:rsidR="006E6414" w:rsidRDefault="006E6414" w:rsidP="006E6414">
      <w:pPr>
        <w:pStyle w:val="Legenda"/>
      </w:pPr>
      <w:bookmarkStart w:id="45" w:name="_Toc495887798"/>
      <w:r>
        <w:t xml:space="preserve">Tabela </w:t>
      </w:r>
      <w:r w:rsidR="00172343">
        <w:fldChar w:fldCharType="begin"/>
      </w:r>
      <w:r w:rsidR="00172343">
        <w:instrText xml:space="preserve"> SEQ Tabela \* ARABIC </w:instrText>
      </w:r>
      <w:r w:rsidR="00172343">
        <w:fldChar w:fldCharType="separate"/>
      </w:r>
      <w:r w:rsidR="00D67FEC">
        <w:rPr>
          <w:noProof/>
        </w:rPr>
        <w:t>9</w:t>
      </w:r>
      <w:r w:rsidR="00172343">
        <w:rPr>
          <w:noProof/>
        </w:rPr>
        <w:fldChar w:fldCharType="end"/>
      </w:r>
      <w:r>
        <w:t xml:space="preserve"> Najważniejsze informacje na temat infrastruktury placówek oświatowych</w:t>
      </w:r>
      <w:bookmarkEnd w:id="45"/>
    </w:p>
    <w:tbl>
      <w:tblPr>
        <w:tblStyle w:val="Tabelasiatki5ciemnaakcent32"/>
        <w:tblW w:w="0" w:type="auto"/>
        <w:tblLook w:val="04A0" w:firstRow="1" w:lastRow="0" w:firstColumn="1" w:lastColumn="0" w:noHBand="0" w:noVBand="1"/>
      </w:tblPr>
      <w:tblGrid>
        <w:gridCol w:w="2235"/>
        <w:gridCol w:w="6945"/>
      </w:tblGrid>
      <w:tr w:rsidR="006E6414" w:rsidTr="00195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E6414" w:rsidRPr="006E6414" w:rsidRDefault="006E6414" w:rsidP="00BB55E0">
            <w:pPr>
              <w:spacing w:line="276" w:lineRule="auto"/>
              <w:jc w:val="both"/>
            </w:pPr>
            <w:r w:rsidRPr="006E6414">
              <w:t xml:space="preserve">Szkoła Podstawowa im. gen. A.Chruściela w Gniewczynie Łańcuckiej </w:t>
            </w:r>
          </w:p>
          <w:p w:rsidR="006E6414" w:rsidRDefault="006E6414" w:rsidP="00BB55E0">
            <w:pPr>
              <w:spacing w:line="276" w:lineRule="auto"/>
            </w:pPr>
          </w:p>
        </w:tc>
        <w:tc>
          <w:tcPr>
            <w:tcW w:w="6945" w:type="dxa"/>
          </w:tcPr>
          <w:p w:rsidR="006E6414" w:rsidRDefault="00BC6246" w:rsidP="00BB55E0">
            <w:pPr>
              <w:spacing w:line="276" w:lineRule="auto"/>
              <w:jc w:val="both"/>
              <w:cnfStyle w:val="100000000000" w:firstRow="1" w:lastRow="0" w:firstColumn="0" w:lastColumn="0" w:oddVBand="0" w:evenVBand="0" w:oddHBand="0" w:evenHBand="0" w:firstRowFirstColumn="0" w:firstRowLastColumn="0" w:lastRowFirstColumn="0" w:lastRowLastColumn="0"/>
            </w:pPr>
            <w:r>
              <w:t xml:space="preserve">Szkoła powstała w 1636 roku jako szkoła parafialna. </w:t>
            </w:r>
            <w:r w:rsidRPr="00BC6246">
              <w:t>W czasie II wojny nauczyciele zor­ganizowali tajne nauczanie dla uczniów szkoły podstawowej i średniej. W okresie powojennym prowadzili kursy dla dorosłych, których celem była likwidacja analfa­betyzmu wśród mieszkańców.</w:t>
            </w:r>
          </w:p>
        </w:tc>
      </w:tr>
      <w:tr w:rsidR="006E6414"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E6414" w:rsidRPr="006E6414" w:rsidRDefault="006E6414" w:rsidP="00BB55E0">
            <w:pPr>
              <w:spacing w:line="276" w:lineRule="auto"/>
              <w:jc w:val="both"/>
            </w:pPr>
            <w:r w:rsidRPr="006E6414">
              <w:rPr>
                <w:rFonts w:eastAsia="Times New Roman"/>
              </w:rPr>
              <w:t xml:space="preserve">Szkoła Podstawowa im. Św. J. Kantego w Tryńczy </w:t>
            </w:r>
          </w:p>
          <w:p w:rsidR="006E6414" w:rsidRDefault="006E6414" w:rsidP="00BB55E0">
            <w:pPr>
              <w:spacing w:line="276" w:lineRule="auto"/>
            </w:pPr>
          </w:p>
        </w:tc>
        <w:tc>
          <w:tcPr>
            <w:tcW w:w="6945" w:type="dxa"/>
          </w:tcPr>
          <w:p w:rsidR="00BC6246" w:rsidRDefault="00BC6246" w:rsidP="00BB55E0">
            <w:pPr>
              <w:spacing w:line="276" w:lineRule="auto"/>
              <w:jc w:val="both"/>
              <w:cnfStyle w:val="000000100000" w:firstRow="0" w:lastRow="0" w:firstColumn="0" w:lastColumn="0" w:oddVBand="0" w:evenVBand="0" w:oddHBand="1" w:evenHBand="0" w:firstRowFirstColumn="0" w:firstRowLastColumn="0" w:lastRowFirstColumn="0" w:lastRowLastColumn="0"/>
            </w:pPr>
            <w:r>
              <w:t>Szkoła w Tryńczy istnieje od 1883r., a od 1909r. posiada własny budynek. W 2004r. utworzono Zespół Szkół, w skład którego wchodziły Gimnazjum oraz Szkoła Podstawowa. W 2017 roku w wyniku zmian w prawie oświatowym przekształcono zespół szkół w Szkołę Podstawową.</w:t>
            </w:r>
          </w:p>
          <w:p w:rsidR="006E6414" w:rsidRDefault="00BC6246" w:rsidP="00BB55E0">
            <w:pPr>
              <w:spacing w:line="276" w:lineRule="auto"/>
              <w:jc w:val="both"/>
              <w:cnfStyle w:val="000000100000" w:firstRow="0" w:lastRow="0" w:firstColumn="0" w:lastColumn="0" w:oddVBand="0" w:evenVBand="0" w:oddHBand="1" w:evenHBand="0" w:firstRowFirstColumn="0" w:firstRowLastColumn="0" w:lastRowFirstColumn="0" w:lastRowLastColumn="0"/>
            </w:pPr>
            <w:r>
              <w:t>Szkoła dysponuje 14 salami lekcyjnymi w tym: pracownią informatyczną, halą sportowo - widowiskową, siłownią, salą fitness, kompleksem boisk tartanowych, świetlicą, biblioteką, kuchnią i pokojem nauczycielskimi.</w:t>
            </w:r>
          </w:p>
        </w:tc>
      </w:tr>
      <w:tr w:rsidR="006E6414" w:rsidTr="001957AA">
        <w:tc>
          <w:tcPr>
            <w:cnfStyle w:val="001000000000" w:firstRow="0" w:lastRow="0" w:firstColumn="1" w:lastColumn="0" w:oddVBand="0" w:evenVBand="0" w:oddHBand="0" w:evenHBand="0" w:firstRowFirstColumn="0" w:firstRowLastColumn="0" w:lastRowFirstColumn="0" w:lastRowLastColumn="0"/>
            <w:tcW w:w="2235" w:type="dxa"/>
          </w:tcPr>
          <w:p w:rsidR="006E6414" w:rsidRPr="006E6414" w:rsidRDefault="006E6414" w:rsidP="00BB55E0">
            <w:pPr>
              <w:spacing w:line="276" w:lineRule="auto"/>
              <w:jc w:val="both"/>
            </w:pPr>
            <w:r w:rsidRPr="006E6414">
              <w:t>Szkoła Podstawowa im. Ojca Św. Jana Pawła II w Gorzycach,</w:t>
            </w:r>
          </w:p>
          <w:p w:rsidR="006E6414" w:rsidRDefault="006E6414" w:rsidP="00BB55E0">
            <w:pPr>
              <w:spacing w:line="276" w:lineRule="auto"/>
            </w:pPr>
          </w:p>
        </w:tc>
        <w:tc>
          <w:tcPr>
            <w:tcW w:w="6945" w:type="dxa"/>
          </w:tcPr>
          <w:p w:rsidR="006E6414" w:rsidRDefault="00BC6246" w:rsidP="00BB55E0">
            <w:pPr>
              <w:spacing w:line="276" w:lineRule="auto"/>
              <w:jc w:val="both"/>
              <w:cnfStyle w:val="000000000000" w:firstRow="0" w:lastRow="0" w:firstColumn="0" w:lastColumn="0" w:oddVBand="0" w:evenVBand="0" w:oddHBand="0" w:evenHBand="0" w:firstRowFirstColumn="0" w:firstRowLastColumn="0" w:lastRowFirstColumn="0" w:lastRowLastColumn="0"/>
            </w:pPr>
            <w:r w:rsidRPr="00BC6246">
              <w:t>Moż</w:t>
            </w:r>
            <w:r>
              <w:t>na</w:t>
            </w:r>
            <w:r w:rsidRPr="00BC6246">
              <w:t xml:space="preserve"> przypuszczać, że </w:t>
            </w:r>
            <w:r>
              <w:t xml:space="preserve">szkoła </w:t>
            </w:r>
            <w:r w:rsidRPr="00BC6246">
              <w:t>powstała w ostatnim dziesięcioleciu XIX wieku.</w:t>
            </w:r>
            <w:r>
              <w:t xml:space="preserve">  </w:t>
            </w:r>
            <w:r w:rsidRPr="00BC6246">
              <w:t>Szkołę wybudowano przed wybuchem I wojny światowej. Był to budynek murowany, parterowy, składający się z dwu izb lekcyjnych i mieszkania przeznaczonego dla kierownika szkoły. W pierwszych dniach II wojny światowej budynek został częściowo zburzony</w:t>
            </w:r>
            <w:r>
              <w:t xml:space="preserve">. </w:t>
            </w:r>
            <w:r w:rsidRPr="00BC6246">
              <w:t>W roku 1947, dzięki staraniom Tomasza Szerszenia, adaptowano dla potrzeb szkoły barak poniemiecki. Drugi z nich przeznaczono na kościół rzymskokatolicki. Powstała w ten sposób szkoła składająca się z sześciu izb lekcyjnych, kancelarii, małego pokoju nauczycielskiego oraz dwóch mieszkań funkcjonalnych. Początkowo budynek szkoły oświetlany był prądem elektrycznym dostarczanym z pobliskiego młyna. Taka sytuacja istniała do roku 1964, kiedy to Gorzyce zostały zelektryfikowane. W 1964 roku z</w:t>
            </w:r>
            <w:r>
              <w:t> </w:t>
            </w:r>
            <w:r w:rsidRPr="00BC6246">
              <w:t>inicjatywy społeczeństwa wsi, rozpoczęto budowę nowej szkoły.</w:t>
            </w:r>
            <w:r>
              <w:t xml:space="preserve"> </w:t>
            </w:r>
            <w:r w:rsidRPr="00BC6246">
              <w:t xml:space="preserve">22 lipca 1965 roku nastąpiło uroczyste oddanie szkoły do użytku. </w:t>
            </w:r>
            <w:r>
              <w:t xml:space="preserve"> </w:t>
            </w:r>
            <w:r w:rsidRPr="00BC6246">
              <w:t>W</w:t>
            </w:r>
            <w:r>
              <w:t> </w:t>
            </w:r>
            <w:r w:rsidRPr="00BC6246">
              <w:t xml:space="preserve">roku 1997 cały budynek szkoły poddany został kapitalnemu remontowi. </w:t>
            </w:r>
            <w:r>
              <w:t xml:space="preserve"> </w:t>
            </w:r>
          </w:p>
        </w:tc>
      </w:tr>
      <w:tr w:rsidR="006E6414"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6E6414" w:rsidRPr="006E6414" w:rsidRDefault="006E6414" w:rsidP="00BB55E0">
            <w:pPr>
              <w:spacing w:line="276" w:lineRule="auto"/>
              <w:jc w:val="both"/>
            </w:pPr>
            <w:r w:rsidRPr="006E6414">
              <w:t>Zespół Szkoły: Podstawowej i Przedszkola Samorządowego im. Króla Władysława Jagiełły w Jagielle</w:t>
            </w:r>
          </w:p>
          <w:p w:rsidR="006E6414" w:rsidRDefault="006E6414" w:rsidP="00BB55E0">
            <w:pPr>
              <w:spacing w:line="276" w:lineRule="auto"/>
            </w:pPr>
          </w:p>
        </w:tc>
        <w:tc>
          <w:tcPr>
            <w:tcW w:w="6945" w:type="dxa"/>
          </w:tcPr>
          <w:p w:rsidR="006E6414" w:rsidRDefault="00BC6246" w:rsidP="00BB55E0">
            <w:pPr>
              <w:spacing w:line="276" w:lineRule="auto"/>
              <w:jc w:val="both"/>
              <w:cnfStyle w:val="000000100000" w:firstRow="0" w:lastRow="0" w:firstColumn="0" w:lastColumn="0" w:oddVBand="0" w:evenVBand="0" w:oddHBand="1" w:evenHBand="0" w:firstRowFirstColumn="0" w:firstRowLastColumn="0" w:lastRowFirstColumn="0" w:lastRowLastColumn="0"/>
            </w:pPr>
            <w:r>
              <w:t>Szkoła w Jagielle funkcjonuje od 1911 roku (jako szkoła czteroklasowa powszechna), w 1929 przekształciła się w szkołę siedmioletnią. W roku 1964 oddano nowy budynek  szkoły. Do dnia dzisiejszego był on kilkukrotnie rozbudowywany i remontowany.</w:t>
            </w:r>
          </w:p>
        </w:tc>
      </w:tr>
      <w:tr w:rsidR="006E6414" w:rsidTr="001957AA">
        <w:tc>
          <w:tcPr>
            <w:cnfStyle w:val="001000000000" w:firstRow="0" w:lastRow="0" w:firstColumn="1" w:lastColumn="0" w:oddVBand="0" w:evenVBand="0" w:oddHBand="0" w:evenHBand="0" w:firstRowFirstColumn="0" w:firstRowLastColumn="0" w:lastRowFirstColumn="0" w:lastRowLastColumn="0"/>
            <w:tcW w:w="2235" w:type="dxa"/>
          </w:tcPr>
          <w:p w:rsidR="006E6414" w:rsidRPr="006E6414" w:rsidRDefault="006E6414" w:rsidP="00BB55E0">
            <w:pPr>
              <w:spacing w:line="276" w:lineRule="auto"/>
              <w:jc w:val="both"/>
            </w:pPr>
            <w:r w:rsidRPr="006E6414">
              <w:t>Publiczna Szkoła Podstawowa im. Tadeusza Kościuszki w Ubieszynie.</w:t>
            </w:r>
          </w:p>
          <w:p w:rsidR="006E6414" w:rsidRDefault="006E6414" w:rsidP="00BB55E0">
            <w:pPr>
              <w:spacing w:line="276" w:lineRule="auto"/>
            </w:pPr>
          </w:p>
        </w:tc>
        <w:tc>
          <w:tcPr>
            <w:tcW w:w="6945" w:type="dxa"/>
          </w:tcPr>
          <w:p w:rsidR="006E6414" w:rsidRDefault="00BC6246" w:rsidP="00BB55E0">
            <w:pPr>
              <w:spacing w:line="276" w:lineRule="auto"/>
              <w:jc w:val="both"/>
              <w:cnfStyle w:val="000000000000" w:firstRow="0" w:lastRow="0" w:firstColumn="0" w:lastColumn="0" w:oddVBand="0" w:evenVBand="0" w:oddHBand="0" w:evenHBand="0" w:firstRowFirstColumn="0" w:firstRowLastColumn="0" w:lastRowFirstColumn="0" w:lastRowLastColumn="0"/>
            </w:pPr>
            <w:r w:rsidRPr="00BC6246">
              <w:t>Publiczna Szkoła Podstawowa w Ubieszynie powstała około roku 1860. Mieściła się ona w parterowym budynku, który składał się z dwu części: jedna przeznaczona była na salę lekcyjną, druga – stanowiła mieszkanie kierownika szkoły</w:t>
            </w:r>
            <w:r>
              <w:t xml:space="preserve">. </w:t>
            </w:r>
            <w:r w:rsidRPr="00BC6246">
              <w:t>Działania wojenne, jakie miały miejsce w Ubieszynie w latach 1914-1915 doprowadziły do zniszczenia budynku szkoły, ale – dzięki zaangażowaniu mieszkańców – już rok później dzieci z powrotem mogły podjąć naukę.</w:t>
            </w:r>
            <w:r>
              <w:t xml:space="preserve"> </w:t>
            </w:r>
            <w:r w:rsidRPr="00BC6246">
              <w:t xml:space="preserve">Po wojnie – w latach 1948-1949 w celu poprawy warunków </w:t>
            </w:r>
            <w:r w:rsidRPr="00BC6246">
              <w:lastRenderedPageBreak/>
              <w:t>lokalowych dobudowano do istniejącego budynku piętro, nie wzmacniając przy tym fundamentów.</w:t>
            </w:r>
            <w:r>
              <w:t xml:space="preserve"> </w:t>
            </w:r>
            <w:r w:rsidRPr="00BC6246">
              <w:t>28 sierpnia 1969 roku w czynie społecznym przystąpiono do wykonania fundamentów pod nową szkołę. Budowa trwała 5 lat.</w:t>
            </w:r>
            <w:r w:rsidR="00C06E9C">
              <w:t xml:space="preserve"> Remont przeprowadzono w 1997 roku. W 2008 roku dzięki dofinansowaniu z Europejskiego Funuduszu </w:t>
            </w:r>
            <w:r w:rsidR="00481877">
              <w:t>Społecznego</w:t>
            </w:r>
            <w:r w:rsidR="00C06E9C">
              <w:t xml:space="preserve"> i Ministra Edukacji Narodowej stworzono nowoczesną jak na tamte czasy pracownię komputerową.</w:t>
            </w:r>
          </w:p>
        </w:tc>
      </w:tr>
    </w:tbl>
    <w:p w:rsidR="00C06E9C" w:rsidRDefault="00C06E9C" w:rsidP="00C06E9C">
      <w:pPr>
        <w:pStyle w:val="Legenda"/>
        <w:jc w:val="both"/>
      </w:pPr>
      <w:r>
        <w:lastRenderedPageBreak/>
        <w:t xml:space="preserve">Źródło: Opracowanie własne na podstawie informacji ze stron internetowych szkół:  </w:t>
      </w:r>
      <w:hyperlink r:id="rId23" w:history="1">
        <w:r w:rsidRPr="00111591">
          <w:rPr>
            <w:rStyle w:val="Hipercze"/>
          </w:rPr>
          <w:t>www.psp.ubieszyn.pl</w:t>
        </w:r>
      </w:hyperlink>
      <w:r>
        <w:t xml:space="preserve">, </w:t>
      </w:r>
      <w:hyperlink r:id="rId24" w:history="1">
        <w:r w:rsidRPr="00111591">
          <w:rPr>
            <w:rStyle w:val="Hipercze"/>
          </w:rPr>
          <w:t>http://www.zstryncza.itl.pl</w:t>
        </w:r>
      </w:hyperlink>
      <w:r>
        <w:t xml:space="preserve">, </w:t>
      </w:r>
      <w:hyperlink r:id="rId25" w:history="1">
        <w:r w:rsidRPr="00111591">
          <w:rPr>
            <w:rStyle w:val="Hipercze"/>
          </w:rPr>
          <w:t>http://www.zsgorzyce.cba.pl</w:t>
        </w:r>
      </w:hyperlink>
      <w:r>
        <w:t xml:space="preserve">, </w:t>
      </w:r>
      <w:hyperlink r:id="rId26" w:history="1">
        <w:r w:rsidRPr="00111591">
          <w:rPr>
            <w:rStyle w:val="Hipercze"/>
          </w:rPr>
          <w:t>http://www.zsgniewczyna.pl/</w:t>
        </w:r>
      </w:hyperlink>
      <w:r>
        <w:t xml:space="preserve">, </w:t>
      </w:r>
      <w:hyperlink r:id="rId27" w:history="1">
        <w:r w:rsidRPr="00111591">
          <w:rPr>
            <w:rStyle w:val="Hipercze"/>
          </w:rPr>
          <w:t>http://www.zspipsjagiella.strefa.pl</w:t>
        </w:r>
      </w:hyperlink>
      <w:r>
        <w:t xml:space="preserve"> </w:t>
      </w:r>
      <w:r>
        <w:br/>
      </w:r>
    </w:p>
    <w:p w:rsidR="00481877" w:rsidRPr="00481877" w:rsidRDefault="00481877" w:rsidP="00481877">
      <w:pPr>
        <w:jc w:val="both"/>
        <w:rPr>
          <w:b/>
        </w:rPr>
      </w:pPr>
      <w:r w:rsidRPr="00481877">
        <w:rPr>
          <w:b/>
        </w:rPr>
        <w:t>Infrastruktura szkolna wymaga remontów, organizacji przestrzeni wokół szkół</w:t>
      </w:r>
      <w:r>
        <w:rPr>
          <w:b/>
        </w:rPr>
        <w:t xml:space="preserve"> oraz doposażenia w </w:t>
      </w:r>
      <w:r w:rsidRPr="00481877">
        <w:rPr>
          <w:b/>
        </w:rPr>
        <w:t>najnowszą technologię i materiały edukacyjne.</w:t>
      </w:r>
    </w:p>
    <w:p w:rsidR="00C06E9C" w:rsidRDefault="00C06E9C" w:rsidP="00C06E9C">
      <w:pPr>
        <w:pStyle w:val="Nagwek3"/>
      </w:pPr>
      <w:bookmarkStart w:id="46" w:name="_Toc496558067"/>
      <w:r>
        <w:t>Infrastruktura pomocy społecznej</w:t>
      </w:r>
      <w:bookmarkEnd w:id="46"/>
    </w:p>
    <w:p w:rsidR="00C06E9C" w:rsidRDefault="00C06E9C" w:rsidP="00301D51">
      <w:pPr>
        <w:pStyle w:val="Bezodstpw"/>
        <w:spacing w:line="276" w:lineRule="auto"/>
        <w:jc w:val="both"/>
      </w:pPr>
    </w:p>
    <w:p w:rsidR="00C06E9C" w:rsidRDefault="00C06E9C" w:rsidP="00C06E9C">
      <w:pPr>
        <w:ind w:firstLine="851"/>
        <w:jc w:val="both"/>
      </w:pPr>
      <w:r>
        <w:t>Gminny</w:t>
      </w:r>
      <w:r w:rsidRPr="00C45470">
        <w:t xml:space="preserve"> Ośrodek Pomocy Społecznej w </w:t>
      </w:r>
      <w:r>
        <w:t>Tryńczy</w:t>
      </w:r>
      <w:r w:rsidRPr="00C45470">
        <w:t xml:space="preserve"> działa od roku 1990 i jest jednostką organi</w:t>
      </w:r>
      <w:r>
        <w:t xml:space="preserve">zacyjną Gminy Tryńcza. </w:t>
      </w:r>
      <w:r w:rsidRPr="00022CA9">
        <w:t xml:space="preserve">Wg stanu na </w:t>
      </w:r>
      <w:r>
        <w:t>koniec roku 2015</w:t>
      </w:r>
      <w:r w:rsidRPr="00022CA9">
        <w:t xml:space="preserve"> </w:t>
      </w:r>
      <w:r>
        <w:t>GOPS</w:t>
      </w:r>
      <w:r w:rsidRPr="00022CA9">
        <w:t xml:space="preserve"> </w:t>
      </w:r>
      <w:r>
        <w:br/>
      </w:r>
      <w:r w:rsidRPr="00022CA9">
        <w:t>w Tryńczy zatrud</w:t>
      </w:r>
      <w:r>
        <w:t>niał 9 osób: kierownika ośrodka</w:t>
      </w:r>
      <w:r w:rsidRPr="00022CA9">
        <w:t xml:space="preserve">, </w:t>
      </w:r>
      <w:r>
        <w:t>4</w:t>
      </w:r>
      <w:r w:rsidRPr="00022CA9">
        <w:t xml:space="preserve"> pracowników socjalnych, 3 osoby pracujące w sekcji świadczeń rodzinnych i </w:t>
      </w:r>
      <w:r>
        <w:t>funduszu alimentacyjnego oraz asystenta rodzinnego</w:t>
      </w:r>
      <w:r w:rsidRPr="00022CA9">
        <w:t>.</w:t>
      </w:r>
    </w:p>
    <w:p w:rsidR="00C06E9C" w:rsidRDefault="00C06E9C" w:rsidP="00C06E9C">
      <w:pPr>
        <w:jc w:val="both"/>
      </w:pPr>
      <w:r>
        <w:t>Pracownicy socjalni działają w obrębie przypisanych im rejonów opiekuńczych, które obejmują następujące miejscowości:</w:t>
      </w:r>
    </w:p>
    <w:p w:rsidR="00C06E9C" w:rsidRPr="00022CA9" w:rsidRDefault="00C06E9C" w:rsidP="00C06E9C">
      <w:pPr>
        <w:pStyle w:val="Akapitzlist"/>
        <w:numPr>
          <w:ilvl w:val="0"/>
          <w:numId w:val="15"/>
        </w:numPr>
        <w:spacing w:after="0"/>
        <w:jc w:val="both"/>
      </w:pPr>
      <w:r w:rsidRPr="00022CA9">
        <w:t>Rejon opiekuńczy 1: Gorzyce, Jagiełła,</w:t>
      </w:r>
    </w:p>
    <w:p w:rsidR="00C06E9C" w:rsidRPr="00022CA9" w:rsidRDefault="00C06E9C" w:rsidP="00C06E9C">
      <w:pPr>
        <w:pStyle w:val="Akapitzlist"/>
        <w:numPr>
          <w:ilvl w:val="0"/>
          <w:numId w:val="15"/>
        </w:numPr>
        <w:spacing w:after="0"/>
        <w:jc w:val="both"/>
      </w:pPr>
      <w:r w:rsidRPr="00022CA9">
        <w:t>Rejon opiekuńczy 2: Głogowiec, Ubieszyn, Wólka Ogryzkowa, Wólka Małkowa,</w:t>
      </w:r>
    </w:p>
    <w:p w:rsidR="00C06E9C" w:rsidRPr="00022CA9" w:rsidRDefault="00C06E9C" w:rsidP="00C06E9C">
      <w:pPr>
        <w:pStyle w:val="Akapitzlist"/>
        <w:numPr>
          <w:ilvl w:val="0"/>
          <w:numId w:val="15"/>
        </w:numPr>
        <w:spacing w:after="0"/>
        <w:jc w:val="both"/>
      </w:pPr>
      <w:r w:rsidRPr="00022CA9">
        <w:t>Rejon opiekuńczy 3: Tryńcza,</w:t>
      </w:r>
    </w:p>
    <w:p w:rsidR="00C06E9C" w:rsidRPr="00022CA9" w:rsidRDefault="00C06E9C" w:rsidP="00C06E9C">
      <w:pPr>
        <w:pStyle w:val="Akapitzlist"/>
        <w:numPr>
          <w:ilvl w:val="0"/>
          <w:numId w:val="15"/>
        </w:numPr>
        <w:spacing w:after="0"/>
        <w:jc w:val="both"/>
      </w:pPr>
      <w:r w:rsidRPr="00022CA9">
        <w:t>Rejon opiekuńczy 4: Gniewczyna Łańcucka, Gniewczyna Tryniecka.</w:t>
      </w:r>
    </w:p>
    <w:p w:rsidR="00C06E9C" w:rsidRDefault="00C06E9C" w:rsidP="00301D51">
      <w:pPr>
        <w:pStyle w:val="Bezodstpw"/>
        <w:spacing w:line="276" w:lineRule="auto"/>
        <w:jc w:val="both"/>
      </w:pPr>
    </w:p>
    <w:p w:rsidR="00C06E9C" w:rsidRDefault="00C06E9C" w:rsidP="00301D51">
      <w:pPr>
        <w:pStyle w:val="Bezodstpw"/>
        <w:spacing w:line="276" w:lineRule="auto"/>
        <w:jc w:val="both"/>
      </w:pPr>
      <w:r>
        <w:t xml:space="preserve">Na terenie gminy nie są prowadzone inne instytucje pomocy społecznej takie jak Domy Pomocy Społecznej czy Warsztaty Terapii Zajęciowej. </w:t>
      </w:r>
    </w:p>
    <w:p w:rsidR="00481877" w:rsidRDefault="00481877" w:rsidP="00481877">
      <w:pPr>
        <w:pStyle w:val="Bezodstpw"/>
        <w:spacing w:line="276" w:lineRule="auto"/>
        <w:jc w:val="both"/>
      </w:pPr>
      <w:r>
        <w:t xml:space="preserve">Poza terenem gminy znajdują się następujące obiekty wspierające osoby w podeszłym wieku, niepełnosprawne czy przewlekle chore, z których mogą korzystać mieszkańcy gminy: </w:t>
      </w:r>
    </w:p>
    <w:p w:rsidR="00481877" w:rsidRDefault="00481877" w:rsidP="00481877">
      <w:pPr>
        <w:pStyle w:val="Bezodstpw"/>
        <w:spacing w:line="276" w:lineRule="auto"/>
        <w:jc w:val="both"/>
      </w:pPr>
      <w:r>
        <w:t>- Wypożyczalnia Sprzętu Rehabilitacyjnego i Urządzeń Pomocniczych „Szansa". Prowadzona wypożyczalnia oferuje: wózki elektryczne i ręczne mające różne przeznaczenie, łóżka szpitalne, kule łokciowe, laski inwalidzkie, różnego rodzaju balkoniki, krzesła i wózki toaletowe, siedziska kąpielowe (wannowe i prysznicowe), pionizatory, szyny wjazdowe dla wózków i inne. Dostępne są również sprzęty przeznaczone do ćwiczeń: rowery stacjonarne, orbitreki, steppery, wioślarze, rotory rehabilitacyjne, tablice do ćwiczeń manualnych. Wypożyczalnia funkcjonuje w strukturach Urzędu Miasta Przeworska.</w:t>
      </w:r>
    </w:p>
    <w:p w:rsidR="00481877" w:rsidRDefault="00481877" w:rsidP="00481877">
      <w:pPr>
        <w:pStyle w:val="Bezodstpw"/>
        <w:spacing w:line="276" w:lineRule="auto"/>
        <w:jc w:val="both"/>
      </w:pPr>
      <w:r>
        <w:t xml:space="preserve">- Dom Pomocy Społecznej dla Kobiet Przewlekle Somatycznie Chorych  w Przeworsku. </w:t>
      </w:r>
      <w:r w:rsidRPr="00821755">
        <w:t>Prowadzony jest przez Zgromadzenie Sióstr Miłosierdzia św. Wincentego a Paulo. Ma swą siedzibę w zabytkowym gmachu w centrum miasta przy ul. Krakowskiej 1. Organizacja Domu dostosowana jest do potrzeb mieszkańców. W Domu stworzono warunki, którym towarzyszy poczucie bezpieczeństwa, zrozumienia i akceptacji. Wszyscy mieszkańcy, a jest ich obecnie 50 otocz</w:t>
      </w:r>
      <w:r>
        <w:t>e</w:t>
      </w:r>
      <w:r w:rsidRPr="00821755">
        <w:t>ni są troską i opieką.</w:t>
      </w:r>
      <w:r>
        <w:rPr>
          <w:rStyle w:val="Odwoanieprzypisudolnego"/>
        </w:rPr>
        <w:footnoteReference w:id="3"/>
      </w:r>
    </w:p>
    <w:p w:rsidR="00481877" w:rsidRDefault="00481877" w:rsidP="00481877">
      <w:pPr>
        <w:pStyle w:val="Bezodstpw"/>
        <w:spacing w:line="276" w:lineRule="auto"/>
        <w:jc w:val="both"/>
      </w:pPr>
      <w:r>
        <w:lastRenderedPageBreak/>
        <w:t xml:space="preserve">- </w:t>
      </w:r>
      <w:r w:rsidRPr="00821755">
        <w:t xml:space="preserve">Miejski Dom Pomocy Społecznej </w:t>
      </w:r>
      <w:r>
        <w:t xml:space="preserve">Lipowiec w Przemyślu </w:t>
      </w:r>
      <w:r w:rsidRPr="00821755">
        <w:t>jest placówką zapewniającą usługi bytowe, opiekuńcze i wspomagające dla osób dorosłych niepełnosprawnych intelektualnie, osób przewlekle chorych psychicznie, osób w podeszłym wieku oraz osób przewlekle somatycznie chorych.</w:t>
      </w:r>
      <w:r>
        <w:t xml:space="preserve"> Dom powstał w 2013r. z połączenia dwóch domów pomocy społecznej i obecnie składa się z kompleksu budynków mieszczących się przy ulicy </w:t>
      </w:r>
      <w:r w:rsidRPr="00821755">
        <w:rPr>
          <w:rStyle w:val="Pogrubienie"/>
          <w:b w:val="0"/>
        </w:rPr>
        <w:t>Wysockiego 99</w:t>
      </w:r>
      <w:r w:rsidRPr="00821755">
        <w:rPr>
          <w:b/>
        </w:rPr>
        <w:t xml:space="preserve"> </w:t>
      </w:r>
      <w:r w:rsidRPr="00821755">
        <w:t>oraz budynku przy ulicy</w:t>
      </w:r>
      <w:r w:rsidRPr="00821755">
        <w:rPr>
          <w:b/>
        </w:rPr>
        <w:t xml:space="preserve"> </w:t>
      </w:r>
      <w:r w:rsidRPr="00821755">
        <w:rPr>
          <w:rStyle w:val="Pogrubienie"/>
          <w:b w:val="0"/>
        </w:rPr>
        <w:t>Św. Brata Alberta 3</w:t>
      </w:r>
      <w:r>
        <w:t xml:space="preserve"> w Przemyślu.</w:t>
      </w:r>
      <w:r>
        <w:rPr>
          <w:rStyle w:val="Odwoanieprzypisudolnego"/>
        </w:rPr>
        <w:footnoteReference w:id="4"/>
      </w:r>
    </w:p>
    <w:p w:rsidR="00481877" w:rsidRDefault="00481877" w:rsidP="00481877">
      <w:pPr>
        <w:pStyle w:val="Bezodstpw"/>
        <w:spacing w:line="276" w:lineRule="auto"/>
        <w:jc w:val="both"/>
      </w:pPr>
      <w:r>
        <w:t>- placówka typu socjalizacyjnego tj. Dom dla Dzieci w Łopuszce Małej , który obejmuje opieką 30 dzieci. Prowadzony jest przez Fundację Pomocy Młodzieży im. Jana Pawła II „Wzrastanie” na mocy zawartego w 1999 roku porozumienia.</w:t>
      </w:r>
    </w:p>
    <w:p w:rsidR="00481877" w:rsidRDefault="00481877" w:rsidP="00481877">
      <w:pPr>
        <w:pStyle w:val="Bezodstpw"/>
        <w:spacing w:line="276" w:lineRule="auto"/>
        <w:jc w:val="both"/>
      </w:pPr>
      <w:r>
        <w:t>- Warsztaty Terapii Zajęciowej zapewniają określone indywidualnymi potrzebami formy rehabilitacji osobom, których stan psychiczny lub umysłowy trwale lub okresowo utrudnia, ogranicza czy uniemożliwia właściwe wypełnianie ról społecznych. W jednej tego typu placówce działającej od 2001 roku na terenie Przeworska przy ul. Kasztanowej 1 , finansowanej ze środków Państwowego Funduszu Rehabilitacji Osób niepełnosprawnych rehabilitacją objętych jest 50 osób niepełnosprawnych.</w:t>
      </w:r>
    </w:p>
    <w:p w:rsidR="00481877" w:rsidRDefault="00481877" w:rsidP="00481877">
      <w:pPr>
        <w:pStyle w:val="Bezodstpw"/>
        <w:spacing w:line="276" w:lineRule="auto"/>
        <w:jc w:val="both"/>
      </w:pPr>
    </w:p>
    <w:p w:rsidR="00481877" w:rsidRDefault="00481877" w:rsidP="00481877">
      <w:pPr>
        <w:pStyle w:val="Bezodstpw"/>
        <w:spacing w:line="276" w:lineRule="auto"/>
        <w:jc w:val="both"/>
      </w:pPr>
      <w:r>
        <w:tab/>
      </w:r>
      <w:r w:rsidRPr="00481877">
        <w:t xml:space="preserve">W 2014 r. </w:t>
      </w:r>
      <w:r>
        <w:t>Gminny Ośrodek Pomocy Społecznej w Tryńczy  opłacał pobyt 3 mieszkańców gminy</w:t>
      </w:r>
      <w:r w:rsidRPr="00481877">
        <w:t xml:space="preserve"> skierowanych do DPS-ów, wydatkując kwotę 60 668 zł. Średnio w 2014 r. gmina dopłacała do osoby umieszczonej w DPS ok. 1 700 zł przy średnim poziomie kosztu pobytu wynoszącym 2 700 zł.</w:t>
      </w:r>
      <w:r>
        <w:t xml:space="preserve"> Jedną osobę skierowano do DPS Lipowica dla</w:t>
      </w:r>
      <w:r w:rsidRPr="00481877">
        <w:t xml:space="preserve"> niepełnosprawnych intelektualnie oraz przewlekle psychicznie chorych</w:t>
      </w:r>
      <w:r>
        <w:t xml:space="preserve"> i 2 osoby do DPS Przeworsk dla przewlekle chorych somatycznie.</w:t>
      </w:r>
    </w:p>
    <w:p w:rsidR="00481877" w:rsidRDefault="00481877" w:rsidP="00481877">
      <w:pPr>
        <w:pStyle w:val="Bezodstpw"/>
        <w:spacing w:line="276" w:lineRule="auto"/>
        <w:jc w:val="both"/>
      </w:pPr>
    </w:p>
    <w:p w:rsidR="00481877" w:rsidRPr="00481877" w:rsidRDefault="00481877" w:rsidP="00481877">
      <w:pPr>
        <w:pStyle w:val="Bezodstpw"/>
        <w:spacing w:line="276" w:lineRule="auto"/>
        <w:ind w:firstLine="708"/>
        <w:jc w:val="both"/>
        <w:rPr>
          <w:b/>
        </w:rPr>
      </w:pPr>
      <w:r w:rsidRPr="00481877">
        <w:rPr>
          <w:b/>
        </w:rPr>
        <w:t>W gminie i okolicach brakuje infrastruktury dziennych i całodobowych domów pomocy seniorom i  osobom przewlekle chorym oraz niepełnosprawnym.</w:t>
      </w:r>
    </w:p>
    <w:p w:rsidR="00481877" w:rsidRDefault="00481877" w:rsidP="00301D51">
      <w:pPr>
        <w:pStyle w:val="Bezodstpw"/>
        <w:spacing w:line="276" w:lineRule="auto"/>
        <w:jc w:val="both"/>
      </w:pPr>
    </w:p>
    <w:p w:rsidR="00481877" w:rsidRDefault="00481877" w:rsidP="00301D51">
      <w:pPr>
        <w:pStyle w:val="Bezodstpw"/>
        <w:spacing w:line="276" w:lineRule="auto"/>
        <w:jc w:val="both"/>
      </w:pPr>
    </w:p>
    <w:p w:rsidR="00C06E9C" w:rsidRDefault="00C06E9C" w:rsidP="00C06E9C">
      <w:pPr>
        <w:pStyle w:val="Nagwek3"/>
      </w:pPr>
      <w:bookmarkStart w:id="47" w:name="_Toc496558068"/>
      <w:r>
        <w:t>Infrastruktura opieki zdrowotnej</w:t>
      </w:r>
      <w:bookmarkEnd w:id="47"/>
    </w:p>
    <w:p w:rsidR="00C06E9C" w:rsidRDefault="00C06E9C" w:rsidP="00301D51">
      <w:pPr>
        <w:pStyle w:val="Bezodstpw"/>
        <w:spacing w:line="276" w:lineRule="auto"/>
        <w:jc w:val="both"/>
      </w:pPr>
    </w:p>
    <w:p w:rsidR="00C06E9C" w:rsidRPr="00CA125E" w:rsidRDefault="00C06E9C" w:rsidP="00C06E9C">
      <w:pPr>
        <w:spacing w:before="240"/>
        <w:ind w:firstLine="851"/>
        <w:jc w:val="both"/>
      </w:pPr>
      <w:r>
        <w:t>Opiekę medyczną w G</w:t>
      </w:r>
      <w:r w:rsidRPr="00E727C9">
        <w:t xml:space="preserve">minie </w:t>
      </w:r>
      <w:r>
        <w:t xml:space="preserve">Tryńcza </w:t>
      </w:r>
      <w:r w:rsidRPr="00E727C9">
        <w:t xml:space="preserve">sprawują 3 zakłady opieki zdrowotnej oraz 2 apteki. Na jeden zakład opieki zdrowotnej </w:t>
      </w:r>
      <w:r>
        <w:t xml:space="preserve">w roku 2014 </w:t>
      </w:r>
      <w:r w:rsidRPr="00E727C9">
        <w:t>przypada</w:t>
      </w:r>
      <w:r>
        <w:t>ło</w:t>
      </w:r>
      <w:r w:rsidRPr="00E727C9">
        <w:t xml:space="preserve"> 2</w:t>
      </w:r>
      <w:r>
        <w:t>.830 osób</w:t>
      </w:r>
      <w:r w:rsidRPr="00E727C9">
        <w:t>.</w:t>
      </w:r>
      <w:r>
        <w:t xml:space="preserve"> </w:t>
      </w:r>
      <w:r w:rsidRPr="00425F8E">
        <w:t xml:space="preserve">Działalność placówek zdrowia uzupełniają </w:t>
      </w:r>
      <w:r>
        <w:t>dwie apteki, zlokalizowane</w:t>
      </w:r>
      <w:r w:rsidRPr="00425F8E">
        <w:t xml:space="preserve"> w miejscowości Tryńcza oraz Gniewczyna Łańcucka</w:t>
      </w:r>
      <w:r>
        <w:t>. Działające w Gminie ośrodki zdrowia, zapewniające mieszkańcom dostęp do podstawowej opieki medycznej są  placówkami niepublicznymi</w:t>
      </w:r>
      <w:r w:rsidRPr="00CA125E">
        <w:t>:</w:t>
      </w:r>
    </w:p>
    <w:p w:rsidR="00C06E9C" w:rsidRPr="004A2F9F" w:rsidRDefault="00C06E9C" w:rsidP="00C06E9C">
      <w:pPr>
        <w:pStyle w:val="Akapitzlist"/>
        <w:numPr>
          <w:ilvl w:val="0"/>
          <w:numId w:val="16"/>
        </w:numPr>
        <w:spacing w:after="0"/>
        <w:ind w:left="284" w:hanging="284"/>
        <w:jc w:val="both"/>
      </w:pPr>
      <w:r w:rsidRPr="004A2F9F">
        <w:t xml:space="preserve">NZOZ </w:t>
      </w:r>
      <w:r>
        <w:t>„Salus” Ośrodek Zdrowia w Tryńczy,</w:t>
      </w:r>
    </w:p>
    <w:p w:rsidR="00C06E9C" w:rsidRDefault="00C06E9C" w:rsidP="00C06E9C">
      <w:pPr>
        <w:pStyle w:val="Akapitzlist"/>
        <w:numPr>
          <w:ilvl w:val="0"/>
          <w:numId w:val="16"/>
        </w:numPr>
        <w:spacing w:after="0"/>
        <w:ind w:left="284" w:hanging="284"/>
        <w:jc w:val="both"/>
      </w:pPr>
      <w:r>
        <w:t>NZOZ „Consilium” Gabinet Lekarski w Gniewczynie Łańcuckiej</w:t>
      </w:r>
    </w:p>
    <w:p w:rsidR="00C06E9C" w:rsidRDefault="00C06E9C" w:rsidP="00C06E9C">
      <w:pPr>
        <w:pStyle w:val="Akapitzlist"/>
        <w:numPr>
          <w:ilvl w:val="0"/>
          <w:numId w:val="16"/>
        </w:numPr>
        <w:spacing w:after="0"/>
        <w:ind w:left="284" w:hanging="284"/>
        <w:jc w:val="both"/>
      </w:pPr>
      <w:r>
        <w:t>Placówka rehabilitacyjna Marcin Pieniążek w Tryńczy</w:t>
      </w:r>
    </w:p>
    <w:p w:rsidR="00C06E9C" w:rsidRPr="004A2F9F" w:rsidRDefault="00C06E9C" w:rsidP="00C06E9C">
      <w:pPr>
        <w:pStyle w:val="Akapitzlist"/>
        <w:numPr>
          <w:ilvl w:val="0"/>
          <w:numId w:val="16"/>
        </w:numPr>
        <w:spacing w:after="0"/>
        <w:ind w:left="284" w:hanging="284"/>
        <w:jc w:val="both"/>
      </w:pPr>
      <w:r>
        <w:t>Placówka rehabilitacyjna Elżbieta Słysz w Gniewczynie</w:t>
      </w:r>
    </w:p>
    <w:p w:rsidR="00C06E9C" w:rsidRDefault="00C06E9C" w:rsidP="00C06E9C">
      <w:pPr>
        <w:pStyle w:val="Bezodstpw"/>
        <w:spacing w:line="276" w:lineRule="auto"/>
        <w:jc w:val="both"/>
      </w:pPr>
      <w:r>
        <w:t xml:space="preserve">Opieka sprawowana przez te placówki ma charakter opieki podstawowej, pediatrycznej </w:t>
      </w:r>
      <w:r>
        <w:br/>
        <w:t>oraz stomatologicznej.</w:t>
      </w:r>
    </w:p>
    <w:p w:rsidR="00C06E9C" w:rsidRDefault="00C06E9C" w:rsidP="00C06E9C">
      <w:pPr>
        <w:pStyle w:val="Bezodstpw"/>
        <w:spacing w:line="276" w:lineRule="auto"/>
        <w:jc w:val="both"/>
      </w:pPr>
    </w:p>
    <w:p w:rsidR="00C06E9C" w:rsidRDefault="00C06E9C" w:rsidP="00481877">
      <w:pPr>
        <w:pStyle w:val="Nagwek3"/>
      </w:pPr>
      <w:bookmarkStart w:id="48" w:name="_Toc496558069"/>
      <w:r>
        <w:lastRenderedPageBreak/>
        <w:t>Infrastruktura związana z bezpieczeństwem mieszkańców</w:t>
      </w:r>
      <w:bookmarkEnd w:id="48"/>
    </w:p>
    <w:p w:rsidR="00C06E9C" w:rsidRDefault="00C06E9C" w:rsidP="00C06E9C">
      <w:pPr>
        <w:pStyle w:val="Bezodstpw"/>
        <w:spacing w:line="276" w:lineRule="auto"/>
        <w:jc w:val="both"/>
      </w:pPr>
    </w:p>
    <w:p w:rsidR="00C06E9C" w:rsidRPr="00AB30CA" w:rsidRDefault="00C06E9C" w:rsidP="00C06E9C">
      <w:pPr>
        <w:spacing w:before="240"/>
        <w:ind w:firstLine="851"/>
        <w:jc w:val="both"/>
        <w:rPr>
          <w:color w:val="000000"/>
        </w:rPr>
      </w:pPr>
      <w:r w:rsidRPr="00F464FD">
        <w:t xml:space="preserve">Za bezpieczeństwo na terenie </w:t>
      </w:r>
      <w:r>
        <w:t>G</w:t>
      </w:r>
      <w:r w:rsidRPr="00F464FD">
        <w:t xml:space="preserve">miny odpowiada Komenda Powiatowa Policji </w:t>
      </w:r>
      <w:r>
        <w:br/>
      </w:r>
      <w:r w:rsidRPr="00F464FD">
        <w:t xml:space="preserve">w Przeworsku. </w:t>
      </w:r>
      <w:r w:rsidRPr="00F464FD">
        <w:rPr>
          <w:color w:val="000000"/>
        </w:rPr>
        <w:t>Posterunek Policji zlokalizowan</w:t>
      </w:r>
      <w:r>
        <w:rPr>
          <w:color w:val="000000"/>
        </w:rPr>
        <w:t>y jest w Tryńczy. P</w:t>
      </w:r>
      <w:r w:rsidRPr="00F464FD">
        <w:rPr>
          <w:color w:val="000000"/>
        </w:rPr>
        <w:t>odlega Komisariatowi Policji w Sieniawie. Z kolei o bezpieczeństwo pożarowe dba Komenda Powiatowa Państwowej Straży Pożarnej zlokalizowana w Przeworsku przy ul. Ignacego Krasickiego 7.</w:t>
      </w:r>
      <w:r w:rsidRPr="00F464FD">
        <w:rPr>
          <w:color w:val="FF0000"/>
        </w:rPr>
        <w:t xml:space="preserve"> </w:t>
      </w:r>
      <w:r w:rsidRPr="00F464FD">
        <w:t>Na wyposażeniu jednostki znajdują się:</w:t>
      </w:r>
    </w:p>
    <w:p w:rsidR="00C06E9C" w:rsidRPr="00F464FD" w:rsidRDefault="00C06E9C" w:rsidP="00C06E9C">
      <w:pPr>
        <w:pStyle w:val="Akapitzlist"/>
        <w:numPr>
          <w:ilvl w:val="0"/>
          <w:numId w:val="17"/>
        </w:numPr>
        <w:spacing w:after="0"/>
        <w:ind w:left="284" w:hanging="284"/>
        <w:jc w:val="both"/>
      </w:pPr>
      <w:r w:rsidRPr="00F464FD">
        <w:t>ciężki samochód ratowniczo-gaśniczy Scania (GCBA 5/30)</w:t>
      </w:r>
      <w:r>
        <w:t>,</w:t>
      </w:r>
    </w:p>
    <w:p w:rsidR="00C06E9C" w:rsidRPr="00F464FD" w:rsidRDefault="00C06E9C" w:rsidP="00C06E9C">
      <w:pPr>
        <w:pStyle w:val="Akapitzlist"/>
        <w:numPr>
          <w:ilvl w:val="0"/>
          <w:numId w:val="17"/>
        </w:numPr>
        <w:spacing w:after="0"/>
        <w:ind w:left="284" w:hanging="284"/>
        <w:jc w:val="both"/>
      </w:pPr>
      <w:r w:rsidRPr="00F464FD">
        <w:t>samochód ratowniczo-gaśniczy Renault  (GBA 2,5/3),</w:t>
      </w:r>
    </w:p>
    <w:p w:rsidR="00C06E9C" w:rsidRPr="00F464FD" w:rsidRDefault="00C06E9C" w:rsidP="00C06E9C">
      <w:pPr>
        <w:pStyle w:val="Akapitzlist"/>
        <w:numPr>
          <w:ilvl w:val="0"/>
          <w:numId w:val="17"/>
        </w:numPr>
        <w:spacing w:after="0"/>
        <w:ind w:left="284" w:hanging="284"/>
        <w:jc w:val="both"/>
      </w:pPr>
      <w:r w:rsidRPr="00F464FD">
        <w:t>samochód ratowniczo-gaśniczy Star (GBA 2/30)</w:t>
      </w:r>
      <w:r>
        <w:t>,</w:t>
      </w:r>
    </w:p>
    <w:p w:rsidR="00C06E9C" w:rsidRPr="00F464FD" w:rsidRDefault="00C06E9C" w:rsidP="00C06E9C">
      <w:pPr>
        <w:pStyle w:val="Akapitzlist"/>
        <w:numPr>
          <w:ilvl w:val="0"/>
          <w:numId w:val="17"/>
        </w:numPr>
        <w:spacing w:after="0"/>
        <w:ind w:left="284" w:hanging="284"/>
        <w:jc w:val="both"/>
      </w:pPr>
      <w:r w:rsidRPr="00F464FD">
        <w:t>pojazd PMT-25D Man</w:t>
      </w:r>
      <w:r>
        <w:t>,</w:t>
      </w:r>
    </w:p>
    <w:p w:rsidR="00C06E9C" w:rsidRPr="00F464FD" w:rsidRDefault="00C06E9C" w:rsidP="00C06E9C">
      <w:pPr>
        <w:pStyle w:val="Akapitzlist"/>
        <w:numPr>
          <w:ilvl w:val="0"/>
          <w:numId w:val="17"/>
        </w:numPr>
        <w:spacing w:after="0"/>
        <w:ind w:left="284" w:hanging="284"/>
        <w:jc w:val="both"/>
      </w:pPr>
      <w:r w:rsidRPr="00F464FD">
        <w:t>samochód terenowy SOp - Nissan X-Trail</w:t>
      </w:r>
      <w:r>
        <w:t>,</w:t>
      </w:r>
    </w:p>
    <w:p w:rsidR="00C06E9C" w:rsidRPr="00F464FD" w:rsidRDefault="00C06E9C" w:rsidP="00C06E9C">
      <w:pPr>
        <w:pStyle w:val="Akapitzlist"/>
        <w:numPr>
          <w:ilvl w:val="0"/>
          <w:numId w:val="17"/>
        </w:numPr>
        <w:spacing w:after="0"/>
        <w:ind w:left="284" w:hanging="284"/>
        <w:jc w:val="both"/>
      </w:pPr>
      <w:r w:rsidRPr="00F464FD">
        <w:t>mikrobus Citroen</w:t>
      </w:r>
      <w:r>
        <w:t>,</w:t>
      </w:r>
    </w:p>
    <w:p w:rsidR="00C06E9C" w:rsidRPr="00F464FD" w:rsidRDefault="00C06E9C" w:rsidP="00C06E9C">
      <w:pPr>
        <w:pStyle w:val="Akapitzlist"/>
        <w:numPr>
          <w:ilvl w:val="0"/>
          <w:numId w:val="17"/>
        </w:numPr>
        <w:spacing w:after="0"/>
        <w:ind w:left="284" w:hanging="284"/>
        <w:jc w:val="both"/>
      </w:pPr>
      <w:r w:rsidRPr="00F464FD">
        <w:t>dwa samochody osobowe SOp marki Toyota i Opel</w:t>
      </w:r>
      <w:r>
        <w:t>,</w:t>
      </w:r>
    </w:p>
    <w:p w:rsidR="00C06E9C" w:rsidRPr="007C7806" w:rsidRDefault="00C06E9C" w:rsidP="00C06E9C">
      <w:pPr>
        <w:pStyle w:val="Akapitzlist"/>
        <w:numPr>
          <w:ilvl w:val="0"/>
          <w:numId w:val="17"/>
        </w:numPr>
        <w:spacing w:after="0"/>
        <w:ind w:left="284" w:hanging="284"/>
        <w:jc w:val="both"/>
        <w:rPr>
          <w:lang w:val="en-US"/>
        </w:rPr>
      </w:pPr>
      <w:r w:rsidRPr="007C7806">
        <w:rPr>
          <w:lang w:val="en-US"/>
        </w:rPr>
        <w:t>pojazd typu Van Volkswagen Transporter Sop</w:t>
      </w:r>
      <w:r>
        <w:rPr>
          <w:lang w:val="en-US"/>
        </w:rPr>
        <w:t>,</w:t>
      </w:r>
    </w:p>
    <w:p w:rsidR="00C06E9C" w:rsidRPr="00F464FD" w:rsidRDefault="00C06E9C" w:rsidP="00C06E9C">
      <w:pPr>
        <w:pStyle w:val="Akapitzlist"/>
        <w:numPr>
          <w:ilvl w:val="0"/>
          <w:numId w:val="17"/>
        </w:numPr>
        <w:spacing w:after="0"/>
        <w:ind w:left="284" w:hanging="284"/>
        <w:jc w:val="both"/>
      </w:pPr>
      <w:r w:rsidRPr="00F464FD">
        <w:t>łódka motorowa</w:t>
      </w:r>
      <w:r>
        <w:t>,</w:t>
      </w:r>
    </w:p>
    <w:p w:rsidR="00C06E9C" w:rsidRDefault="00C06E9C" w:rsidP="00C06E9C">
      <w:pPr>
        <w:pStyle w:val="Akapitzlist"/>
        <w:numPr>
          <w:ilvl w:val="0"/>
          <w:numId w:val="17"/>
        </w:numPr>
        <w:spacing w:after="0"/>
        <w:ind w:left="284" w:hanging="284"/>
        <w:jc w:val="both"/>
      </w:pPr>
      <w:r w:rsidRPr="00F464FD">
        <w:t>ponton.</w:t>
      </w:r>
    </w:p>
    <w:p w:rsidR="00C06E9C" w:rsidRPr="00F464FD" w:rsidRDefault="00C06E9C" w:rsidP="00C06E9C">
      <w:pPr>
        <w:widowControl w:val="0"/>
        <w:autoSpaceDE w:val="0"/>
        <w:autoSpaceDN w:val="0"/>
        <w:adjustRightInd w:val="0"/>
        <w:ind w:firstLine="851"/>
        <w:jc w:val="both"/>
        <w:rPr>
          <w:color w:val="000000"/>
        </w:rPr>
      </w:pPr>
      <w:r w:rsidRPr="00F464FD">
        <w:t>Jednostka działa w Krajowym Systemie Ratowniczo-Gaśniczym (KSRG), który współtworz</w:t>
      </w:r>
      <w:r w:rsidRPr="00F464FD">
        <w:rPr>
          <w:color w:val="000000"/>
        </w:rPr>
        <w:t>ą oraz</w:t>
      </w:r>
      <w:r>
        <w:rPr>
          <w:color w:val="000000"/>
        </w:rPr>
        <w:t xml:space="preserve"> koordynują jego funkcjonowanie następujące organy władzy</w:t>
      </w:r>
      <w:r w:rsidRPr="00F464FD">
        <w:rPr>
          <w:color w:val="000000"/>
        </w:rPr>
        <w:t>:</w:t>
      </w:r>
    </w:p>
    <w:p w:rsidR="00C06E9C" w:rsidRPr="00F464FD" w:rsidRDefault="00C06E9C" w:rsidP="00C06E9C">
      <w:pPr>
        <w:pStyle w:val="Akapitzlist"/>
        <w:widowControl w:val="0"/>
        <w:numPr>
          <w:ilvl w:val="0"/>
          <w:numId w:val="18"/>
        </w:numPr>
        <w:tabs>
          <w:tab w:val="left" w:pos="284"/>
        </w:tabs>
        <w:autoSpaceDE w:val="0"/>
        <w:autoSpaceDN w:val="0"/>
        <w:adjustRightInd w:val="0"/>
        <w:spacing w:after="0"/>
        <w:ind w:left="284" w:hanging="284"/>
        <w:jc w:val="both"/>
        <w:rPr>
          <w:color w:val="000000"/>
        </w:rPr>
      </w:pPr>
      <w:r w:rsidRPr="00F464FD">
        <w:rPr>
          <w:color w:val="000000"/>
        </w:rPr>
        <w:t>starosta, który określa zadania i kontroluje wykonywan</w:t>
      </w:r>
      <w:r>
        <w:rPr>
          <w:color w:val="000000"/>
        </w:rPr>
        <w:t xml:space="preserve">ie zadań na obszarze powiatu, </w:t>
      </w:r>
      <w:r>
        <w:rPr>
          <w:color w:val="000000"/>
        </w:rPr>
        <w:br/>
        <w:t>a </w:t>
      </w:r>
      <w:r w:rsidRPr="00F464FD">
        <w:rPr>
          <w:color w:val="000000"/>
        </w:rPr>
        <w:t>w sytuacjach nadzwyczajnych zagrożeń życia, zdrowia, środowiska i mienia zarządza systemem przy pomocy zespołu do s</w:t>
      </w:r>
      <w:r>
        <w:rPr>
          <w:color w:val="000000"/>
        </w:rPr>
        <w:t>praw ochrony przeciwpożarowej i </w:t>
      </w:r>
      <w:r w:rsidRPr="00F464FD">
        <w:rPr>
          <w:color w:val="000000"/>
        </w:rPr>
        <w:t xml:space="preserve">ratownictwa, </w:t>
      </w:r>
    </w:p>
    <w:p w:rsidR="00C06E9C" w:rsidRPr="00F464FD" w:rsidRDefault="00C06E9C" w:rsidP="00C06E9C">
      <w:pPr>
        <w:pStyle w:val="Akapitzlist"/>
        <w:widowControl w:val="0"/>
        <w:numPr>
          <w:ilvl w:val="0"/>
          <w:numId w:val="18"/>
        </w:numPr>
        <w:tabs>
          <w:tab w:val="left" w:pos="284"/>
        </w:tabs>
        <w:autoSpaceDE w:val="0"/>
        <w:autoSpaceDN w:val="0"/>
        <w:adjustRightInd w:val="0"/>
        <w:spacing w:after="0"/>
        <w:ind w:left="284" w:hanging="284"/>
        <w:jc w:val="both"/>
        <w:rPr>
          <w:color w:val="000000"/>
          <w:sz w:val="20"/>
          <w:szCs w:val="20"/>
        </w:rPr>
      </w:pPr>
      <w:r w:rsidRPr="00F464FD">
        <w:rPr>
          <w:color w:val="000000"/>
        </w:rPr>
        <w:t xml:space="preserve">wojewoda, który określa zadania i kontroluje ich wykonanie na obszarze województwa, </w:t>
      </w:r>
    </w:p>
    <w:p w:rsidR="00C06E9C" w:rsidRPr="00324358" w:rsidRDefault="00C06E9C" w:rsidP="00C06E9C">
      <w:pPr>
        <w:pStyle w:val="Akapitzlist"/>
        <w:widowControl w:val="0"/>
        <w:numPr>
          <w:ilvl w:val="0"/>
          <w:numId w:val="18"/>
        </w:numPr>
        <w:tabs>
          <w:tab w:val="left" w:pos="284"/>
        </w:tabs>
        <w:autoSpaceDE w:val="0"/>
        <w:autoSpaceDN w:val="0"/>
        <w:adjustRightInd w:val="0"/>
        <w:spacing w:after="0"/>
        <w:ind w:left="284" w:hanging="284"/>
        <w:jc w:val="both"/>
        <w:rPr>
          <w:color w:val="000000"/>
        </w:rPr>
      </w:pPr>
      <w:r w:rsidRPr="00F464FD">
        <w:rPr>
          <w:color w:val="000000"/>
        </w:rPr>
        <w:t>wójt (burmistrz lub prezydent miasta) w zakresie zad</w:t>
      </w:r>
      <w:r>
        <w:rPr>
          <w:color w:val="000000"/>
        </w:rPr>
        <w:t xml:space="preserve">ań ustalonych przez wojewodę, </w:t>
      </w:r>
      <w:r>
        <w:rPr>
          <w:color w:val="000000"/>
        </w:rPr>
        <w:br/>
        <w:t>a </w:t>
      </w:r>
      <w:r w:rsidRPr="00F464FD">
        <w:rPr>
          <w:color w:val="000000"/>
        </w:rPr>
        <w:t>w sytuacjach nadzwyczajnych zagrożeń życia, zdrowia, środowiska i mienia zarządza systemem przy pomocy zespołu do s</w:t>
      </w:r>
      <w:r>
        <w:rPr>
          <w:color w:val="000000"/>
        </w:rPr>
        <w:t>praw ochrony przeciwpożarowej i </w:t>
      </w:r>
      <w:r w:rsidRPr="00F464FD">
        <w:rPr>
          <w:color w:val="000000"/>
        </w:rPr>
        <w:t>ratownictwa.</w:t>
      </w:r>
    </w:p>
    <w:p w:rsidR="00C06E9C" w:rsidRDefault="00C06E9C" w:rsidP="00C06E9C">
      <w:pPr>
        <w:widowControl w:val="0"/>
        <w:tabs>
          <w:tab w:val="left" w:pos="220"/>
          <w:tab w:val="left" w:pos="720"/>
        </w:tabs>
        <w:autoSpaceDE w:val="0"/>
        <w:autoSpaceDN w:val="0"/>
        <w:adjustRightInd w:val="0"/>
        <w:ind w:firstLine="851"/>
        <w:jc w:val="both"/>
        <w:rPr>
          <w:color w:val="000000"/>
        </w:rPr>
      </w:pPr>
      <w:r w:rsidRPr="00F464FD">
        <w:rPr>
          <w:color w:val="000000"/>
        </w:rPr>
        <w:t xml:space="preserve">W skład KSRG na szczeblu powiatu przeworskiego wchodzą także jednostki Ochotniczej Straży Pożarnej (OSP), wśród których znajduje się m.in. zlokalizowana </w:t>
      </w:r>
      <w:r>
        <w:rPr>
          <w:color w:val="000000"/>
        </w:rPr>
        <w:br/>
        <w:t>na terenie G</w:t>
      </w:r>
      <w:r w:rsidRPr="00F464FD">
        <w:rPr>
          <w:color w:val="000000"/>
        </w:rPr>
        <w:t>miny Ochotnicza Straż Pożarna Tryńcza.</w:t>
      </w:r>
      <w:r>
        <w:rPr>
          <w:color w:val="000000"/>
        </w:rPr>
        <w:t xml:space="preserve"> </w:t>
      </w:r>
      <w:r w:rsidRPr="00F464FD">
        <w:rPr>
          <w:color w:val="000000"/>
        </w:rPr>
        <w:t xml:space="preserve">OSP w Tryńczy posiada historię sięgającą roku 1905. </w:t>
      </w:r>
    </w:p>
    <w:p w:rsidR="00C06E9C" w:rsidRDefault="00C06E9C" w:rsidP="00C06E9C">
      <w:pPr>
        <w:widowControl w:val="0"/>
        <w:tabs>
          <w:tab w:val="left" w:pos="220"/>
          <w:tab w:val="left" w:pos="720"/>
        </w:tabs>
        <w:autoSpaceDE w:val="0"/>
        <w:autoSpaceDN w:val="0"/>
        <w:adjustRightInd w:val="0"/>
        <w:jc w:val="both"/>
        <w:rPr>
          <w:color w:val="000000"/>
        </w:rPr>
      </w:pPr>
      <w:r>
        <w:rPr>
          <w:color w:val="000000"/>
        </w:rPr>
        <w:t>Na terenie Gminy działa łącznie 7 jednostek</w:t>
      </w:r>
      <w:r w:rsidRPr="009F5FB5">
        <w:rPr>
          <w:color w:val="000000"/>
        </w:rPr>
        <w:t xml:space="preserve"> </w:t>
      </w:r>
      <w:r>
        <w:rPr>
          <w:color w:val="000000"/>
        </w:rPr>
        <w:t>OSP</w:t>
      </w:r>
      <w:r w:rsidRPr="009F5FB5">
        <w:rPr>
          <w:color w:val="000000"/>
        </w:rPr>
        <w:t xml:space="preserve"> w miejscowościach: </w:t>
      </w:r>
    </w:p>
    <w:p w:rsidR="00C06E9C" w:rsidRPr="009F5FB5" w:rsidRDefault="00C06E9C" w:rsidP="00C06E9C">
      <w:pPr>
        <w:pStyle w:val="Akapitzlist"/>
        <w:widowControl w:val="0"/>
        <w:numPr>
          <w:ilvl w:val="0"/>
          <w:numId w:val="19"/>
        </w:numPr>
        <w:tabs>
          <w:tab w:val="left" w:pos="220"/>
          <w:tab w:val="left" w:pos="284"/>
        </w:tabs>
        <w:autoSpaceDE w:val="0"/>
        <w:autoSpaceDN w:val="0"/>
        <w:adjustRightInd w:val="0"/>
        <w:spacing w:after="0"/>
        <w:ind w:left="284" w:hanging="284"/>
        <w:jc w:val="both"/>
        <w:rPr>
          <w:color w:val="000000"/>
        </w:rPr>
      </w:pPr>
      <w:r w:rsidRPr="009F5FB5">
        <w:rPr>
          <w:color w:val="000000"/>
        </w:rPr>
        <w:t xml:space="preserve">Głogowiec, </w:t>
      </w:r>
    </w:p>
    <w:p w:rsidR="00C06E9C" w:rsidRPr="009F5FB5" w:rsidRDefault="00C06E9C" w:rsidP="00C06E9C">
      <w:pPr>
        <w:pStyle w:val="Akapitzlist"/>
        <w:widowControl w:val="0"/>
        <w:numPr>
          <w:ilvl w:val="0"/>
          <w:numId w:val="19"/>
        </w:numPr>
        <w:tabs>
          <w:tab w:val="left" w:pos="220"/>
          <w:tab w:val="left" w:pos="284"/>
        </w:tabs>
        <w:autoSpaceDE w:val="0"/>
        <w:autoSpaceDN w:val="0"/>
        <w:adjustRightInd w:val="0"/>
        <w:spacing w:after="0"/>
        <w:ind w:left="284" w:hanging="284"/>
        <w:jc w:val="both"/>
        <w:rPr>
          <w:color w:val="000000"/>
        </w:rPr>
      </w:pPr>
      <w:r w:rsidRPr="009F5FB5">
        <w:rPr>
          <w:color w:val="000000"/>
        </w:rPr>
        <w:t xml:space="preserve">Gniewczyna Łańcucka, </w:t>
      </w:r>
    </w:p>
    <w:p w:rsidR="00C06E9C" w:rsidRPr="009F5FB5" w:rsidRDefault="00C06E9C" w:rsidP="00C06E9C">
      <w:pPr>
        <w:pStyle w:val="Akapitzlist"/>
        <w:widowControl w:val="0"/>
        <w:numPr>
          <w:ilvl w:val="0"/>
          <w:numId w:val="19"/>
        </w:numPr>
        <w:tabs>
          <w:tab w:val="left" w:pos="220"/>
          <w:tab w:val="left" w:pos="284"/>
        </w:tabs>
        <w:autoSpaceDE w:val="0"/>
        <w:autoSpaceDN w:val="0"/>
        <w:adjustRightInd w:val="0"/>
        <w:spacing w:after="0"/>
        <w:ind w:left="284" w:hanging="284"/>
        <w:jc w:val="both"/>
        <w:rPr>
          <w:color w:val="000000"/>
        </w:rPr>
      </w:pPr>
      <w:r w:rsidRPr="009F5FB5">
        <w:rPr>
          <w:color w:val="000000"/>
        </w:rPr>
        <w:t xml:space="preserve">Gniewczyna Tryniecka, </w:t>
      </w:r>
    </w:p>
    <w:p w:rsidR="00C06E9C" w:rsidRPr="009F5FB5" w:rsidRDefault="00C06E9C" w:rsidP="00C06E9C">
      <w:pPr>
        <w:pStyle w:val="Akapitzlist"/>
        <w:widowControl w:val="0"/>
        <w:numPr>
          <w:ilvl w:val="0"/>
          <w:numId w:val="19"/>
        </w:numPr>
        <w:tabs>
          <w:tab w:val="left" w:pos="220"/>
          <w:tab w:val="left" w:pos="284"/>
        </w:tabs>
        <w:autoSpaceDE w:val="0"/>
        <w:autoSpaceDN w:val="0"/>
        <w:adjustRightInd w:val="0"/>
        <w:spacing w:after="0"/>
        <w:ind w:left="284" w:hanging="284"/>
        <w:jc w:val="both"/>
        <w:rPr>
          <w:color w:val="000000"/>
        </w:rPr>
      </w:pPr>
      <w:r w:rsidRPr="009F5FB5">
        <w:rPr>
          <w:color w:val="000000"/>
        </w:rPr>
        <w:t xml:space="preserve">Gorzyce, </w:t>
      </w:r>
    </w:p>
    <w:p w:rsidR="00C06E9C" w:rsidRPr="009F5FB5" w:rsidRDefault="00C06E9C" w:rsidP="00C06E9C">
      <w:pPr>
        <w:pStyle w:val="Akapitzlist"/>
        <w:widowControl w:val="0"/>
        <w:numPr>
          <w:ilvl w:val="0"/>
          <w:numId w:val="19"/>
        </w:numPr>
        <w:tabs>
          <w:tab w:val="left" w:pos="220"/>
          <w:tab w:val="left" w:pos="284"/>
        </w:tabs>
        <w:autoSpaceDE w:val="0"/>
        <w:autoSpaceDN w:val="0"/>
        <w:adjustRightInd w:val="0"/>
        <w:spacing w:after="0"/>
        <w:ind w:left="284" w:hanging="284"/>
        <w:jc w:val="both"/>
        <w:rPr>
          <w:color w:val="000000"/>
        </w:rPr>
      </w:pPr>
      <w:r w:rsidRPr="009F5FB5">
        <w:rPr>
          <w:color w:val="000000"/>
        </w:rPr>
        <w:t xml:space="preserve">Jagiełła, </w:t>
      </w:r>
    </w:p>
    <w:p w:rsidR="00C06E9C" w:rsidRPr="009F5FB5" w:rsidRDefault="00C06E9C" w:rsidP="00C06E9C">
      <w:pPr>
        <w:pStyle w:val="Akapitzlist"/>
        <w:widowControl w:val="0"/>
        <w:numPr>
          <w:ilvl w:val="0"/>
          <w:numId w:val="19"/>
        </w:numPr>
        <w:tabs>
          <w:tab w:val="left" w:pos="220"/>
          <w:tab w:val="left" w:pos="284"/>
        </w:tabs>
        <w:autoSpaceDE w:val="0"/>
        <w:autoSpaceDN w:val="0"/>
        <w:adjustRightInd w:val="0"/>
        <w:spacing w:after="0"/>
        <w:ind w:left="284" w:hanging="284"/>
        <w:jc w:val="both"/>
        <w:rPr>
          <w:color w:val="000000"/>
        </w:rPr>
      </w:pPr>
      <w:r w:rsidRPr="009F5FB5">
        <w:rPr>
          <w:color w:val="000000"/>
        </w:rPr>
        <w:t>Tryńcza</w:t>
      </w:r>
      <w:r>
        <w:rPr>
          <w:color w:val="000000"/>
        </w:rPr>
        <w:t>,</w:t>
      </w:r>
      <w:r w:rsidRPr="009F5FB5">
        <w:rPr>
          <w:color w:val="000000"/>
        </w:rPr>
        <w:t xml:space="preserve">  </w:t>
      </w:r>
    </w:p>
    <w:p w:rsidR="00C06E9C" w:rsidRPr="00324358" w:rsidRDefault="00C06E9C" w:rsidP="00C06E9C">
      <w:pPr>
        <w:pStyle w:val="Akapitzlist"/>
        <w:widowControl w:val="0"/>
        <w:numPr>
          <w:ilvl w:val="0"/>
          <w:numId w:val="19"/>
        </w:numPr>
        <w:tabs>
          <w:tab w:val="left" w:pos="220"/>
          <w:tab w:val="left" w:pos="284"/>
        </w:tabs>
        <w:autoSpaceDE w:val="0"/>
        <w:autoSpaceDN w:val="0"/>
        <w:adjustRightInd w:val="0"/>
        <w:spacing w:after="0"/>
        <w:ind w:left="284" w:hanging="284"/>
        <w:jc w:val="both"/>
        <w:rPr>
          <w:color w:val="000000"/>
        </w:rPr>
      </w:pPr>
      <w:r w:rsidRPr="009F5FB5">
        <w:rPr>
          <w:color w:val="000000"/>
        </w:rPr>
        <w:t>Ubieszyn</w:t>
      </w:r>
      <w:r>
        <w:rPr>
          <w:color w:val="000000"/>
        </w:rPr>
        <w:t>.</w:t>
      </w:r>
      <w:r w:rsidRPr="009F5FB5">
        <w:rPr>
          <w:color w:val="000000"/>
        </w:rPr>
        <w:t xml:space="preserve"> </w:t>
      </w:r>
    </w:p>
    <w:p w:rsidR="00C06E9C" w:rsidRPr="00AB30CA" w:rsidRDefault="00C06E9C" w:rsidP="00C06E9C">
      <w:pPr>
        <w:widowControl w:val="0"/>
        <w:tabs>
          <w:tab w:val="left" w:pos="220"/>
          <w:tab w:val="left" w:pos="720"/>
        </w:tabs>
        <w:autoSpaceDE w:val="0"/>
        <w:autoSpaceDN w:val="0"/>
        <w:adjustRightInd w:val="0"/>
        <w:ind w:firstLine="851"/>
        <w:jc w:val="both"/>
        <w:rPr>
          <w:color w:val="000000"/>
        </w:rPr>
      </w:pPr>
      <w:r>
        <w:rPr>
          <w:color w:val="000000"/>
        </w:rPr>
        <w:t xml:space="preserve">Ich zadaniem jest </w:t>
      </w:r>
      <w:r w:rsidRPr="009F5FB5">
        <w:rPr>
          <w:color w:val="000000"/>
        </w:rPr>
        <w:t>zapewnia</w:t>
      </w:r>
      <w:r>
        <w:rPr>
          <w:color w:val="000000"/>
        </w:rPr>
        <w:t>nie bezpieczeństwa</w:t>
      </w:r>
      <w:r w:rsidRPr="009F5FB5">
        <w:rPr>
          <w:color w:val="000000"/>
        </w:rPr>
        <w:t xml:space="preserve"> </w:t>
      </w:r>
      <w:r>
        <w:rPr>
          <w:color w:val="000000"/>
        </w:rPr>
        <w:t>mieszkańcom Gminy i wspomaganie działań</w:t>
      </w:r>
      <w:r w:rsidRPr="009F5FB5">
        <w:rPr>
          <w:color w:val="000000"/>
        </w:rPr>
        <w:t xml:space="preserve"> Komendy Powiatowej Państwowej Straży Pożarnej w Przeworsku w działaniach ratowniczo - gaśniczych oraz w zwalczani</w:t>
      </w:r>
      <w:r>
        <w:rPr>
          <w:color w:val="000000"/>
        </w:rPr>
        <w:t>u klęsk żywiołowych na terenie G</w:t>
      </w:r>
      <w:r w:rsidRPr="009F5FB5">
        <w:rPr>
          <w:color w:val="000000"/>
        </w:rPr>
        <w:t xml:space="preserve">miny, jak również poza nią. Jednostki </w:t>
      </w:r>
      <w:r>
        <w:rPr>
          <w:color w:val="000000"/>
        </w:rPr>
        <w:t xml:space="preserve">OSP </w:t>
      </w:r>
      <w:r w:rsidRPr="009F5FB5">
        <w:rPr>
          <w:color w:val="000000"/>
        </w:rPr>
        <w:t xml:space="preserve">łącznie dysponują 9 wozami bojowymi oraz dużą ilością specjalistycznego sprzętu ratowniczo </w:t>
      </w:r>
      <w:r>
        <w:rPr>
          <w:color w:val="000000"/>
        </w:rPr>
        <w:t>–</w:t>
      </w:r>
      <w:r w:rsidRPr="009F5FB5">
        <w:rPr>
          <w:color w:val="000000"/>
        </w:rPr>
        <w:t xml:space="preserve"> </w:t>
      </w:r>
      <w:r w:rsidRPr="009F5FB5">
        <w:rPr>
          <w:color w:val="000000"/>
        </w:rPr>
        <w:lastRenderedPageBreak/>
        <w:t>gaśniczego</w:t>
      </w:r>
      <w:r>
        <w:rPr>
          <w:color w:val="000000"/>
        </w:rPr>
        <w:t>.</w:t>
      </w:r>
    </w:p>
    <w:p w:rsidR="00C06E9C" w:rsidRDefault="00C06E9C" w:rsidP="00C06E9C">
      <w:pPr>
        <w:pStyle w:val="Nagwek3"/>
      </w:pPr>
      <w:bookmarkStart w:id="49" w:name="_Toc496558070"/>
      <w:r>
        <w:t>Infrastruktura mieszkaniowa</w:t>
      </w:r>
      <w:bookmarkEnd w:id="49"/>
    </w:p>
    <w:p w:rsidR="00C06E9C" w:rsidRDefault="00C06E9C" w:rsidP="00C06E9C">
      <w:pPr>
        <w:pStyle w:val="Bezodstpw"/>
        <w:spacing w:line="276" w:lineRule="auto"/>
        <w:jc w:val="both"/>
      </w:pPr>
    </w:p>
    <w:p w:rsidR="00C06E9C" w:rsidRDefault="00C06E9C" w:rsidP="00C06E9C">
      <w:pPr>
        <w:ind w:firstLine="567"/>
        <w:jc w:val="both"/>
      </w:pPr>
      <w:r>
        <w:t>Na układ osadniczy gminy składa się wieś Tryńcza (15,63% ludności gminy) – będąca siedzibą gminy – oraz  następujące osady: Głogowiec (3,60%), Gniewczyna Łańcucka (25,30%), Gniewczyna Tryniecka (10,01%), Gorzyce (15,87%), Jagiełła (13,28%), Ubieszyn (8,95%), Wólka Małkowa (3,74%), Wólka Ogryzkowa (3,63).</w:t>
      </w:r>
    </w:p>
    <w:p w:rsidR="00C06E9C" w:rsidRDefault="00C06E9C" w:rsidP="00C06E9C">
      <w:pPr>
        <w:pStyle w:val="Legenda"/>
        <w:spacing w:line="276" w:lineRule="auto"/>
      </w:pPr>
      <w:bookmarkStart w:id="50" w:name="_Toc450829962"/>
      <w:bookmarkStart w:id="51" w:name="_Toc495887799"/>
      <w:r>
        <w:t xml:space="preserve">Tabela </w:t>
      </w:r>
      <w:r w:rsidR="00172343">
        <w:fldChar w:fldCharType="begin"/>
      </w:r>
      <w:r w:rsidR="00172343">
        <w:instrText xml:space="preserve"> SEQ Tabela \* ARABIC </w:instrText>
      </w:r>
      <w:r w:rsidR="00172343">
        <w:fldChar w:fldCharType="separate"/>
      </w:r>
      <w:r w:rsidR="00D67FEC">
        <w:rPr>
          <w:noProof/>
        </w:rPr>
        <w:t>10</w:t>
      </w:r>
      <w:r w:rsidR="00172343">
        <w:rPr>
          <w:noProof/>
        </w:rPr>
        <w:fldChar w:fldCharType="end"/>
      </w:r>
      <w:r>
        <w:t xml:space="preserve"> Zasoby mieszkaniowe gminy w latach 2008-2014</w:t>
      </w:r>
      <w:bookmarkEnd w:id="50"/>
      <w:bookmarkEnd w:id="51"/>
    </w:p>
    <w:tbl>
      <w:tblPr>
        <w:tblStyle w:val="Tabelasiatki5ciemnaakcent32"/>
        <w:tblW w:w="9606" w:type="dxa"/>
        <w:tblLayout w:type="fixed"/>
        <w:tblLook w:val="04A0" w:firstRow="1" w:lastRow="0" w:firstColumn="1" w:lastColumn="0" w:noHBand="0" w:noVBand="1"/>
      </w:tblPr>
      <w:tblGrid>
        <w:gridCol w:w="2796"/>
        <w:gridCol w:w="851"/>
        <w:gridCol w:w="851"/>
        <w:gridCol w:w="851"/>
        <w:gridCol w:w="851"/>
        <w:gridCol w:w="851"/>
        <w:gridCol w:w="851"/>
        <w:gridCol w:w="852"/>
        <w:gridCol w:w="852"/>
      </w:tblGrid>
      <w:tr w:rsidR="00C06E9C" w:rsidRPr="00E058A3" w:rsidTr="001957A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96" w:type="dxa"/>
            <w:noWrap/>
            <w:hideMark/>
          </w:tcPr>
          <w:p w:rsidR="00C06E9C" w:rsidRPr="00E058A3" w:rsidRDefault="00C06E9C" w:rsidP="00481877">
            <w:pPr>
              <w:spacing w:line="276" w:lineRule="auto"/>
              <w:jc w:val="center"/>
              <w:rPr>
                <w:rFonts w:asciiTheme="minorHAnsi" w:hAnsiTheme="minorHAnsi" w:cstheme="minorHAnsi"/>
                <w:b w:val="0"/>
                <w:bCs w:val="0"/>
                <w:color w:val="FFFFFF"/>
              </w:rPr>
            </w:pPr>
            <w:r w:rsidRPr="00E058A3">
              <w:rPr>
                <w:rFonts w:asciiTheme="minorHAnsi" w:hAnsiTheme="minorHAnsi" w:cstheme="minorHAnsi"/>
                <w:b w:val="0"/>
                <w:bCs w:val="0"/>
                <w:color w:val="FFFFFF"/>
              </w:rPr>
              <w:t>zasoby mieszkaniowe</w:t>
            </w:r>
          </w:p>
        </w:tc>
        <w:tc>
          <w:tcPr>
            <w:tcW w:w="851" w:type="dxa"/>
            <w:noWrap/>
            <w:hideMark/>
          </w:tcPr>
          <w:p w:rsidR="00C06E9C" w:rsidRPr="00E058A3" w:rsidRDefault="00C06E9C" w:rsidP="0048187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E058A3">
              <w:rPr>
                <w:rFonts w:asciiTheme="minorHAnsi" w:hAnsiTheme="minorHAnsi" w:cstheme="minorHAnsi"/>
                <w:b w:val="0"/>
                <w:bCs w:val="0"/>
                <w:color w:val="FFFFFF"/>
              </w:rPr>
              <w:t>2008</w:t>
            </w:r>
          </w:p>
        </w:tc>
        <w:tc>
          <w:tcPr>
            <w:tcW w:w="851" w:type="dxa"/>
            <w:noWrap/>
            <w:hideMark/>
          </w:tcPr>
          <w:p w:rsidR="00C06E9C" w:rsidRPr="00E058A3" w:rsidRDefault="00C06E9C" w:rsidP="0048187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E058A3">
              <w:rPr>
                <w:rFonts w:asciiTheme="minorHAnsi" w:hAnsiTheme="minorHAnsi" w:cstheme="minorHAnsi"/>
                <w:b w:val="0"/>
                <w:bCs w:val="0"/>
                <w:color w:val="FFFFFF"/>
              </w:rPr>
              <w:t>2009</w:t>
            </w:r>
          </w:p>
        </w:tc>
        <w:tc>
          <w:tcPr>
            <w:tcW w:w="851" w:type="dxa"/>
            <w:noWrap/>
            <w:hideMark/>
          </w:tcPr>
          <w:p w:rsidR="00C06E9C" w:rsidRPr="00E058A3" w:rsidRDefault="00C06E9C" w:rsidP="0048187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E058A3">
              <w:rPr>
                <w:rFonts w:asciiTheme="minorHAnsi" w:hAnsiTheme="minorHAnsi" w:cstheme="minorHAnsi"/>
                <w:b w:val="0"/>
                <w:bCs w:val="0"/>
                <w:color w:val="FFFFFF"/>
              </w:rPr>
              <w:t>2010</w:t>
            </w:r>
          </w:p>
        </w:tc>
        <w:tc>
          <w:tcPr>
            <w:tcW w:w="851" w:type="dxa"/>
            <w:noWrap/>
            <w:hideMark/>
          </w:tcPr>
          <w:p w:rsidR="00C06E9C" w:rsidRPr="00E058A3" w:rsidRDefault="00C06E9C" w:rsidP="0048187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E058A3">
              <w:rPr>
                <w:rFonts w:asciiTheme="minorHAnsi" w:hAnsiTheme="minorHAnsi" w:cstheme="minorHAnsi"/>
                <w:b w:val="0"/>
                <w:bCs w:val="0"/>
                <w:color w:val="FFFFFF"/>
              </w:rPr>
              <w:t>2011</w:t>
            </w:r>
          </w:p>
        </w:tc>
        <w:tc>
          <w:tcPr>
            <w:tcW w:w="851" w:type="dxa"/>
            <w:noWrap/>
            <w:hideMark/>
          </w:tcPr>
          <w:p w:rsidR="00C06E9C" w:rsidRPr="00E058A3" w:rsidRDefault="00C06E9C" w:rsidP="0048187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E058A3">
              <w:rPr>
                <w:rFonts w:asciiTheme="minorHAnsi" w:hAnsiTheme="minorHAnsi" w:cstheme="minorHAnsi"/>
                <w:b w:val="0"/>
                <w:bCs w:val="0"/>
                <w:color w:val="FFFFFF"/>
              </w:rPr>
              <w:t>2012</w:t>
            </w:r>
          </w:p>
        </w:tc>
        <w:tc>
          <w:tcPr>
            <w:tcW w:w="851" w:type="dxa"/>
            <w:noWrap/>
            <w:hideMark/>
          </w:tcPr>
          <w:p w:rsidR="00C06E9C" w:rsidRPr="00E058A3" w:rsidRDefault="00C06E9C" w:rsidP="0048187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E058A3">
              <w:rPr>
                <w:rFonts w:asciiTheme="minorHAnsi" w:hAnsiTheme="minorHAnsi" w:cstheme="minorHAnsi"/>
                <w:b w:val="0"/>
                <w:bCs w:val="0"/>
                <w:color w:val="FFFFFF"/>
              </w:rPr>
              <w:t>2013</w:t>
            </w:r>
          </w:p>
        </w:tc>
        <w:tc>
          <w:tcPr>
            <w:tcW w:w="852" w:type="dxa"/>
          </w:tcPr>
          <w:p w:rsidR="00C06E9C" w:rsidRPr="00E058A3" w:rsidRDefault="00C06E9C" w:rsidP="0048187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E058A3">
              <w:rPr>
                <w:rFonts w:asciiTheme="minorHAnsi" w:hAnsiTheme="minorHAnsi" w:cstheme="minorHAnsi"/>
                <w:b w:val="0"/>
                <w:bCs w:val="0"/>
                <w:color w:val="FFFFFF"/>
              </w:rPr>
              <w:t>2014</w:t>
            </w:r>
          </w:p>
        </w:tc>
        <w:tc>
          <w:tcPr>
            <w:tcW w:w="852" w:type="dxa"/>
          </w:tcPr>
          <w:p w:rsidR="00C06E9C" w:rsidRPr="00E058A3" w:rsidRDefault="00C06E9C" w:rsidP="004818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rPr>
            </w:pPr>
            <w:r w:rsidRPr="00E058A3">
              <w:rPr>
                <w:rFonts w:asciiTheme="minorHAnsi" w:hAnsiTheme="minorHAnsi" w:cstheme="minorHAnsi"/>
                <w:color w:val="FFFFFF"/>
              </w:rPr>
              <w:t>2015</w:t>
            </w:r>
          </w:p>
        </w:tc>
      </w:tr>
      <w:tr w:rsidR="00C06E9C" w:rsidRPr="00E058A3" w:rsidTr="001957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96" w:type="dxa"/>
            <w:hideMark/>
          </w:tcPr>
          <w:p w:rsidR="00C06E9C" w:rsidRPr="00E058A3" w:rsidRDefault="00C06E9C" w:rsidP="00481877">
            <w:pPr>
              <w:spacing w:line="276" w:lineRule="auto"/>
              <w:jc w:val="center"/>
              <w:rPr>
                <w:rFonts w:asciiTheme="minorHAnsi" w:hAnsiTheme="minorHAnsi" w:cstheme="minorHAnsi"/>
                <w:color w:val="000000"/>
              </w:rPr>
            </w:pPr>
            <w:r w:rsidRPr="00E058A3">
              <w:rPr>
                <w:rFonts w:asciiTheme="minorHAnsi" w:hAnsiTheme="minorHAnsi" w:cstheme="minorHAnsi"/>
                <w:color w:val="000000"/>
              </w:rPr>
              <w:t>Mieszkania</w:t>
            </w:r>
          </w:p>
        </w:tc>
        <w:tc>
          <w:tcPr>
            <w:tcW w:w="851" w:type="dxa"/>
            <w:noWrap/>
            <w:hideMark/>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2230</w:t>
            </w:r>
          </w:p>
        </w:tc>
        <w:tc>
          <w:tcPr>
            <w:tcW w:w="851" w:type="dxa"/>
            <w:noWrap/>
            <w:hideMark/>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2253</w:t>
            </w:r>
          </w:p>
        </w:tc>
        <w:tc>
          <w:tcPr>
            <w:tcW w:w="851" w:type="dxa"/>
            <w:noWrap/>
            <w:hideMark/>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2238</w:t>
            </w:r>
          </w:p>
        </w:tc>
        <w:tc>
          <w:tcPr>
            <w:tcW w:w="851" w:type="dxa"/>
            <w:noWrap/>
            <w:hideMark/>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2246</w:t>
            </w:r>
          </w:p>
        </w:tc>
        <w:tc>
          <w:tcPr>
            <w:tcW w:w="851" w:type="dxa"/>
            <w:noWrap/>
            <w:hideMark/>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2276</w:t>
            </w:r>
          </w:p>
        </w:tc>
        <w:tc>
          <w:tcPr>
            <w:tcW w:w="851" w:type="dxa"/>
            <w:noWrap/>
            <w:hideMark/>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2286</w:t>
            </w:r>
          </w:p>
        </w:tc>
        <w:tc>
          <w:tcPr>
            <w:tcW w:w="852" w:type="dxa"/>
          </w:tcPr>
          <w:p w:rsidR="00C06E9C" w:rsidRPr="00E058A3" w:rsidRDefault="00C06E9C" w:rsidP="004818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2302</w:t>
            </w:r>
          </w:p>
        </w:tc>
        <w:tc>
          <w:tcPr>
            <w:tcW w:w="852" w:type="dxa"/>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2329</w:t>
            </w:r>
          </w:p>
        </w:tc>
      </w:tr>
      <w:tr w:rsidR="00C06E9C" w:rsidRPr="00E058A3" w:rsidTr="001957AA">
        <w:trPr>
          <w:trHeight w:val="300"/>
        </w:trPr>
        <w:tc>
          <w:tcPr>
            <w:cnfStyle w:val="001000000000" w:firstRow="0" w:lastRow="0" w:firstColumn="1" w:lastColumn="0" w:oddVBand="0" w:evenVBand="0" w:oddHBand="0" w:evenHBand="0" w:firstRowFirstColumn="0" w:firstRowLastColumn="0" w:lastRowFirstColumn="0" w:lastRowLastColumn="0"/>
            <w:tcW w:w="2796" w:type="dxa"/>
            <w:hideMark/>
          </w:tcPr>
          <w:p w:rsidR="00C06E9C" w:rsidRPr="00E058A3" w:rsidRDefault="00C06E9C" w:rsidP="00481877">
            <w:pPr>
              <w:spacing w:line="276" w:lineRule="auto"/>
              <w:jc w:val="center"/>
              <w:rPr>
                <w:rFonts w:asciiTheme="minorHAnsi" w:hAnsiTheme="minorHAnsi" w:cstheme="minorHAnsi"/>
                <w:color w:val="000000"/>
              </w:rPr>
            </w:pPr>
            <w:r w:rsidRPr="00E058A3">
              <w:rPr>
                <w:rFonts w:asciiTheme="minorHAnsi" w:hAnsiTheme="minorHAnsi" w:cstheme="minorHAnsi"/>
                <w:color w:val="000000"/>
              </w:rPr>
              <w:t>Izby</w:t>
            </w:r>
          </w:p>
        </w:tc>
        <w:tc>
          <w:tcPr>
            <w:tcW w:w="851" w:type="dxa"/>
            <w:noWrap/>
            <w:hideMark/>
          </w:tcPr>
          <w:p w:rsidR="00C06E9C" w:rsidRPr="00E058A3" w:rsidRDefault="00C06E9C" w:rsidP="004818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8835</w:t>
            </w:r>
          </w:p>
        </w:tc>
        <w:tc>
          <w:tcPr>
            <w:tcW w:w="851" w:type="dxa"/>
            <w:noWrap/>
            <w:hideMark/>
          </w:tcPr>
          <w:p w:rsidR="00C06E9C" w:rsidRPr="00E058A3" w:rsidRDefault="00C06E9C" w:rsidP="004818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8974</w:t>
            </w:r>
          </w:p>
        </w:tc>
        <w:tc>
          <w:tcPr>
            <w:tcW w:w="851" w:type="dxa"/>
            <w:noWrap/>
            <w:hideMark/>
          </w:tcPr>
          <w:p w:rsidR="00C06E9C" w:rsidRPr="00E058A3" w:rsidRDefault="00C06E9C" w:rsidP="004818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9250</w:t>
            </w:r>
          </w:p>
        </w:tc>
        <w:tc>
          <w:tcPr>
            <w:tcW w:w="851" w:type="dxa"/>
            <w:noWrap/>
            <w:hideMark/>
          </w:tcPr>
          <w:p w:rsidR="00C06E9C" w:rsidRPr="00E058A3" w:rsidRDefault="00C06E9C" w:rsidP="004818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9295</w:t>
            </w:r>
          </w:p>
        </w:tc>
        <w:tc>
          <w:tcPr>
            <w:tcW w:w="851" w:type="dxa"/>
            <w:noWrap/>
            <w:hideMark/>
          </w:tcPr>
          <w:p w:rsidR="00C06E9C" w:rsidRPr="00E058A3" w:rsidRDefault="00C06E9C" w:rsidP="004818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9474</w:t>
            </w:r>
          </w:p>
        </w:tc>
        <w:tc>
          <w:tcPr>
            <w:tcW w:w="851" w:type="dxa"/>
            <w:noWrap/>
            <w:hideMark/>
          </w:tcPr>
          <w:p w:rsidR="00C06E9C" w:rsidRPr="00E058A3" w:rsidRDefault="00C06E9C" w:rsidP="004818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9534</w:t>
            </w:r>
          </w:p>
        </w:tc>
        <w:tc>
          <w:tcPr>
            <w:tcW w:w="852" w:type="dxa"/>
          </w:tcPr>
          <w:p w:rsidR="00C06E9C" w:rsidRPr="00E058A3" w:rsidRDefault="00C06E9C" w:rsidP="004818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9634</w:t>
            </w:r>
          </w:p>
        </w:tc>
        <w:tc>
          <w:tcPr>
            <w:tcW w:w="852" w:type="dxa"/>
          </w:tcPr>
          <w:p w:rsidR="00C06E9C" w:rsidRPr="00E058A3" w:rsidRDefault="00C06E9C" w:rsidP="004818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9791</w:t>
            </w:r>
          </w:p>
        </w:tc>
      </w:tr>
      <w:tr w:rsidR="00C06E9C" w:rsidRPr="00E058A3" w:rsidTr="001957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6" w:type="dxa"/>
            <w:hideMark/>
          </w:tcPr>
          <w:p w:rsidR="00C06E9C" w:rsidRPr="00E058A3" w:rsidRDefault="00C06E9C" w:rsidP="002943F5">
            <w:pPr>
              <w:spacing w:line="276" w:lineRule="auto"/>
              <w:ind w:leftChars="-19" w:hangingChars="21" w:hanging="42"/>
              <w:jc w:val="center"/>
              <w:rPr>
                <w:rFonts w:asciiTheme="minorHAnsi" w:hAnsiTheme="minorHAnsi" w:cstheme="minorHAnsi"/>
                <w:color w:val="000000"/>
              </w:rPr>
            </w:pPr>
            <w:r w:rsidRPr="00E058A3">
              <w:rPr>
                <w:rFonts w:asciiTheme="minorHAnsi" w:hAnsiTheme="minorHAnsi" w:cstheme="minorHAnsi"/>
                <w:color w:val="000000"/>
              </w:rPr>
              <w:t>powierzchnia użytkowa mieszkań</w:t>
            </w:r>
          </w:p>
        </w:tc>
        <w:tc>
          <w:tcPr>
            <w:tcW w:w="851" w:type="dxa"/>
            <w:noWrap/>
            <w:hideMark/>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195220</w:t>
            </w:r>
          </w:p>
        </w:tc>
        <w:tc>
          <w:tcPr>
            <w:tcW w:w="851" w:type="dxa"/>
            <w:noWrap/>
            <w:hideMark/>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198421</w:t>
            </w:r>
          </w:p>
        </w:tc>
        <w:tc>
          <w:tcPr>
            <w:tcW w:w="851" w:type="dxa"/>
            <w:noWrap/>
            <w:hideMark/>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201786</w:t>
            </w:r>
          </w:p>
        </w:tc>
        <w:tc>
          <w:tcPr>
            <w:tcW w:w="851" w:type="dxa"/>
            <w:noWrap/>
            <w:hideMark/>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202764</w:t>
            </w:r>
          </w:p>
        </w:tc>
        <w:tc>
          <w:tcPr>
            <w:tcW w:w="851" w:type="dxa"/>
            <w:noWrap/>
            <w:hideMark/>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206643</w:t>
            </w:r>
          </w:p>
        </w:tc>
        <w:tc>
          <w:tcPr>
            <w:tcW w:w="851" w:type="dxa"/>
            <w:noWrap/>
            <w:hideMark/>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208258</w:t>
            </w:r>
          </w:p>
        </w:tc>
        <w:tc>
          <w:tcPr>
            <w:tcW w:w="852" w:type="dxa"/>
          </w:tcPr>
          <w:p w:rsidR="00C06E9C" w:rsidRPr="00E058A3" w:rsidRDefault="00C06E9C" w:rsidP="004818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210557</w:t>
            </w:r>
          </w:p>
        </w:tc>
        <w:tc>
          <w:tcPr>
            <w:tcW w:w="852" w:type="dxa"/>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214262</w:t>
            </w:r>
          </w:p>
        </w:tc>
      </w:tr>
      <w:tr w:rsidR="00C06E9C" w:rsidRPr="00E058A3" w:rsidTr="001957AA">
        <w:trPr>
          <w:trHeight w:val="300"/>
        </w:trPr>
        <w:tc>
          <w:tcPr>
            <w:cnfStyle w:val="001000000000" w:firstRow="0" w:lastRow="0" w:firstColumn="1" w:lastColumn="0" w:oddVBand="0" w:evenVBand="0" w:oddHBand="0" w:evenHBand="0" w:firstRowFirstColumn="0" w:firstRowLastColumn="0" w:lastRowFirstColumn="0" w:lastRowLastColumn="0"/>
            <w:tcW w:w="2796" w:type="dxa"/>
            <w:hideMark/>
          </w:tcPr>
          <w:p w:rsidR="00C06E9C" w:rsidRPr="00E058A3" w:rsidRDefault="00C06E9C" w:rsidP="00481877">
            <w:pPr>
              <w:spacing w:line="276" w:lineRule="auto"/>
              <w:jc w:val="center"/>
              <w:rPr>
                <w:rFonts w:asciiTheme="minorHAnsi" w:hAnsiTheme="minorHAnsi" w:cstheme="minorHAnsi"/>
                <w:color w:val="000000"/>
              </w:rPr>
            </w:pPr>
            <w:r w:rsidRPr="00E058A3">
              <w:rPr>
                <w:rFonts w:asciiTheme="minorHAnsi" w:hAnsiTheme="minorHAnsi" w:cstheme="minorHAnsi"/>
                <w:color w:val="000000"/>
              </w:rPr>
              <w:t>budynki mieszkalne w gminie (ogółem)</w:t>
            </w:r>
          </w:p>
        </w:tc>
        <w:tc>
          <w:tcPr>
            <w:tcW w:w="851" w:type="dxa"/>
            <w:noWrap/>
            <w:hideMark/>
          </w:tcPr>
          <w:p w:rsidR="00C06E9C" w:rsidRPr="00E058A3" w:rsidRDefault="00C06E9C" w:rsidP="004818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2337</w:t>
            </w:r>
          </w:p>
        </w:tc>
        <w:tc>
          <w:tcPr>
            <w:tcW w:w="851" w:type="dxa"/>
            <w:noWrap/>
            <w:hideMark/>
          </w:tcPr>
          <w:p w:rsidR="00C06E9C" w:rsidRPr="00E058A3" w:rsidRDefault="00C06E9C" w:rsidP="004818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2359</w:t>
            </w:r>
          </w:p>
        </w:tc>
        <w:tc>
          <w:tcPr>
            <w:tcW w:w="851" w:type="dxa"/>
            <w:noWrap/>
            <w:hideMark/>
          </w:tcPr>
          <w:p w:rsidR="00C06E9C" w:rsidRPr="00E058A3" w:rsidRDefault="00C06E9C" w:rsidP="004818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2341</w:t>
            </w:r>
          </w:p>
        </w:tc>
        <w:tc>
          <w:tcPr>
            <w:tcW w:w="851" w:type="dxa"/>
            <w:noWrap/>
            <w:hideMark/>
          </w:tcPr>
          <w:p w:rsidR="00C06E9C" w:rsidRPr="00E058A3" w:rsidRDefault="00C06E9C" w:rsidP="004818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2315</w:t>
            </w:r>
          </w:p>
        </w:tc>
        <w:tc>
          <w:tcPr>
            <w:tcW w:w="851" w:type="dxa"/>
            <w:noWrap/>
            <w:hideMark/>
          </w:tcPr>
          <w:p w:rsidR="00C06E9C" w:rsidRPr="00E058A3" w:rsidRDefault="00C06E9C" w:rsidP="004818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2344</w:t>
            </w:r>
          </w:p>
        </w:tc>
        <w:tc>
          <w:tcPr>
            <w:tcW w:w="851" w:type="dxa"/>
            <w:noWrap/>
            <w:hideMark/>
          </w:tcPr>
          <w:p w:rsidR="00C06E9C" w:rsidRPr="00E058A3" w:rsidRDefault="00C06E9C" w:rsidP="004818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2355</w:t>
            </w:r>
          </w:p>
        </w:tc>
        <w:tc>
          <w:tcPr>
            <w:tcW w:w="852" w:type="dxa"/>
          </w:tcPr>
          <w:p w:rsidR="00C06E9C" w:rsidRPr="00E058A3" w:rsidRDefault="00C06E9C" w:rsidP="004818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2371</w:t>
            </w:r>
          </w:p>
        </w:tc>
        <w:tc>
          <w:tcPr>
            <w:tcW w:w="852" w:type="dxa"/>
          </w:tcPr>
          <w:p w:rsidR="00C06E9C" w:rsidRPr="00E058A3" w:rsidRDefault="00C06E9C" w:rsidP="004818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2398</w:t>
            </w:r>
          </w:p>
        </w:tc>
      </w:tr>
      <w:tr w:rsidR="00C06E9C" w:rsidRPr="00E058A3" w:rsidTr="001957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6" w:type="dxa"/>
          </w:tcPr>
          <w:p w:rsidR="00C06E9C" w:rsidRPr="00E058A3" w:rsidRDefault="00C06E9C" w:rsidP="00481877">
            <w:pPr>
              <w:spacing w:line="276" w:lineRule="auto"/>
              <w:jc w:val="center"/>
              <w:rPr>
                <w:rFonts w:asciiTheme="minorHAnsi" w:hAnsiTheme="minorHAnsi" w:cstheme="minorHAnsi"/>
                <w:color w:val="000000"/>
              </w:rPr>
            </w:pPr>
            <w:r w:rsidRPr="00E058A3">
              <w:rPr>
                <w:rFonts w:asciiTheme="minorHAnsi" w:hAnsiTheme="minorHAnsi" w:cstheme="minorHAnsi"/>
                <w:color w:val="000000"/>
              </w:rPr>
              <w:t>Wodociąg, przyłącza do budynków mieszkalnych i zbiorowego zamieszkania</w:t>
            </w:r>
          </w:p>
        </w:tc>
        <w:tc>
          <w:tcPr>
            <w:tcW w:w="851" w:type="dxa"/>
            <w:noWrap/>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2078</w:t>
            </w:r>
          </w:p>
        </w:tc>
        <w:tc>
          <w:tcPr>
            <w:tcW w:w="851" w:type="dxa"/>
            <w:noWrap/>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2114</w:t>
            </w:r>
          </w:p>
        </w:tc>
        <w:tc>
          <w:tcPr>
            <w:tcW w:w="851" w:type="dxa"/>
            <w:noWrap/>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2132</w:t>
            </w:r>
          </w:p>
        </w:tc>
        <w:tc>
          <w:tcPr>
            <w:tcW w:w="851" w:type="dxa"/>
            <w:noWrap/>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2158</w:t>
            </w:r>
          </w:p>
        </w:tc>
        <w:tc>
          <w:tcPr>
            <w:tcW w:w="851" w:type="dxa"/>
            <w:noWrap/>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2190</w:t>
            </w:r>
          </w:p>
        </w:tc>
        <w:tc>
          <w:tcPr>
            <w:tcW w:w="851" w:type="dxa"/>
            <w:noWrap/>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2224</w:t>
            </w:r>
          </w:p>
        </w:tc>
        <w:tc>
          <w:tcPr>
            <w:tcW w:w="852" w:type="dxa"/>
          </w:tcPr>
          <w:p w:rsidR="00C06E9C" w:rsidRPr="00E058A3" w:rsidRDefault="00C06E9C" w:rsidP="004818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2254</w:t>
            </w:r>
          </w:p>
        </w:tc>
        <w:tc>
          <w:tcPr>
            <w:tcW w:w="852" w:type="dxa"/>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2305</w:t>
            </w:r>
          </w:p>
        </w:tc>
      </w:tr>
      <w:tr w:rsidR="00C06E9C" w:rsidRPr="00E058A3" w:rsidTr="001957AA">
        <w:trPr>
          <w:trHeight w:val="300"/>
        </w:trPr>
        <w:tc>
          <w:tcPr>
            <w:cnfStyle w:val="001000000000" w:firstRow="0" w:lastRow="0" w:firstColumn="1" w:lastColumn="0" w:oddVBand="0" w:evenVBand="0" w:oddHBand="0" w:evenHBand="0" w:firstRowFirstColumn="0" w:firstRowLastColumn="0" w:lastRowFirstColumn="0" w:lastRowLastColumn="0"/>
            <w:tcW w:w="2796" w:type="dxa"/>
          </w:tcPr>
          <w:p w:rsidR="00C06E9C" w:rsidRPr="00E058A3" w:rsidRDefault="00C06E9C" w:rsidP="00481877">
            <w:pPr>
              <w:spacing w:line="276" w:lineRule="auto"/>
              <w:jc w:val="center"/>
              <w:rPr>
                <w:rFonts w:asciiTheme="minorHAnsi" w:hAnsiTheme="minorHAnsi" w:cstheme="minorHAnsi"/>
                <w:color w:val="000000"/>
              </w:rPr>
            </w:pPr>
            <w:r w:rsidRPr="00E058A3">
              <w:rPr>
                <w:rFonts w:asciiTheme="minorHAnsi" w:hAnsiTheme="minorHAnsi" w:cstheme="minorHAnsi"/>
                <w:color w:val="000000"/>
              </w:rPr>
              <w:t>Kanalizacja, przyłącza do budynków mieszkalnych i zbiorowego zamieszkania</w:t>
            </w:r>
          </w:p>
        </w:tc>
        <w:tc>
          <w:tcPr>
            <w:tcW w:w="851" w:type="dxa"/>
            <w:noWrap/>
          </w:tcPr>
          <w:p w:rsidR="00C06E9C" w:rsidRPr="00E058A3" w:rsidRDefault="00C06E9C" w:rsidP="004818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1401</w:t>
            </w:r>
          </w:p>
        </w:tc>
        <w:tc>
          <w:tcPr>
            <w:tcW w:w="851" w:type="dxa"/>
            <w:noWrap/>
          </w:tcPr>
          <w:p w:rsidR="00C06E9C" w:rsidRPr="00E058A3" w:rsidRDefault="00C06E9C" w:rsidP="004818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1697</w:t>
            </w:r>
          </w:p>
        </w:tc>
        <w:tc>
          <w:tcPr>
            <w:tcW w:w="851" w:type="dxa"/>
            <w:noWrap/>
          </w:tcPr>
          <w:p w:rsidR="00C06E9C" w:rsidRPr="00E058A3" w:rsidRDefault="00C06E9C" w:rsidP="004818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1718</w:t>
            </w:r>
          </w:p>
        </w:tc>
        <w:tc>
          <w:tcPr>
            <w:tcW w:w="851" w:type="dxa"/>
            <w:noWrap/>
          </w:tcPr>
          <w:p w:rsidR="00C06E9C" w:rsidRPr="00E058A3" w:rsidRDefault="00C06E9C" w:rsidP="004818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1766</w:t>
            </w:r>
          </w:p>
        </w:tc>
        <w:tc>
          <w:tcPr>
            <w:tcW w:w="851" w:type="dxa"/>
            <w:noWrap/>
          </w:tcPr>
          <w:p w:rsidR="00C06E9C" w:rsidRPr="00E058A3" w:rsidRDefault="00C06E9C" w:rsidP="004818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1808</w:t>
            </w:r>
          </w:p>
        </w:tc>
        <w:tc>
          <w:tcPr>
            <w:tcW w:w="851" w:type="dxa"/>
            <w:noWrap/>
          </w:tcPr>
          <w:p w:rsidR="00C06E9C" w:rsidRPr="00E058A3" w:rsidRDefault="00C06E9C" w:rsidP="004818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1845</w:t>
            </w:r>
          </w:p>
        </w:tc>
        <w:tc>
          <w:tcPr>
            <w:tcW w:w="852" w:type="dxa"/>
          </w:tcPr>
          <w:p w:rsidR="00C06E9C" w:rsidRPr="00E058A3" w:rsidRDefault="00C06E9C" w:rsidP="0048187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1920</w:t>
            </w:r>
          </w:p>
        </w:tc>
        <w:tc>
          <w:tcPr>
            <w:tcW w:w="852" w:type="dxa"/>
          </w:tcPr>
          <w:p w:rsidR="00C06E9C" w:rsidRPr="00E058A3" w:rsidRDefault="00C06E9C" w:rsidP="004818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2005</w:t>
            </w:r>
          </w:p>
        </w:tc>
      </w:tr>
      <w:tr w:rsidR="00C06E9C" w:rsidRPr="00E058A3" w:rsidTr="001957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6" w:type="dxa"/>
          </w:tcPr>
          <w:p w:rsidR="00C06E9C" w:rsidRPr="00E058A3" w:rsidRDefault="00C06E9C" w:rsidP="00481877">
            <w:pPr>
              <w:spacing w:line="276" w:lineRule="auto"/>
              <w:jc w:val="center"/>
              <w:rPr>
                <w:rFonts w:asciiTheme="minorHAnsi" w:hAnsiTheme="minorHAnsi" w:cstheme="minorHAnsi"/>
                <w:color w:val="000000"/>
              </w:rPr>
            </w:pPr>
            <w:r w:rsidRPr="00E058A3">
              <w:rPr>
                <w:rFonts w:asciiTheme="minorHAnsi" w:hAnsiTheme="minorHAnsi" w:cstheme="minorHAnsi"/>
                <w:color w:val="000000"/>
              </w:rPr>
              <w:t>Gaz, przyłącza do budynków mieszkalnych i niemieszkalnych</w:t>
            </w:r>
          </w:p>
        </w:tc>
        <w:tc>
          <w:tcPr>
            <w:tcW w:w="851" w:type="dxa"/>
            <w:noWrap/>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1690</w:t>
            </w:r>
          </w:p>
        </w:tc>
        <w:tc>
          <w:tcPr>
            <w:tcW w:w="851" w:type="dxa"/>
            <w:noWrap/>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1699</w:t>
            </w:r>
          </w:p>
        </w:tc>
        <w:tc>
          <w:tcPr>
            <w:tcW w:w="851" w:type="dxa"/>
            <w:noWrap/>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1700</w:t>
            </w:r>
          </w:p>
        </w:tc>
        <w:tc>
          <w:tcPr>
            <w:tcW w:w="851" w:type="dxa"/>
            <w:noWrap/>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1714</w:t>
            </w:r>
          </w:p>
        </w:tc>
        <w:tc>
          <w:tcPr>
            <w:tcW w:w="851" w:type="dxa"/>
            <w:noWrap/>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1720</w:t>
            </w:r>
          </w:p>
        </w:tc>
        <w:tc>
          <w:tcPr>
            <w:tcW w:w="851" w:type="dxa"/>
            <w:noWrap/>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1723</w:t>
            </w:r>
          </w:p>
        </w:tc>
        <w:tc>
          <w:tcPr>
            <w:tcW w:w="852" w:type="dxa"/>
          </w:tcPr>
          <w:p w:rsidR="00C06E9C" w:rsidRPr="00E058A3" w:rsidRDefault="00C06E9C" w:rsidP="004818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1728</w:t>
            </w:r>
          </w:p>
        </w:tc>
        <w:tc>
          <w:tcPr>
            <w:tcW w:w="852" w:type="dxa"/>
          </w:tcPr>
          <w:p w:rsidR="00C06E9C" w:rsidRPr="00E058A3" w:rsidRDefault="00C06E9C" w:rsidP="004818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058A3">
              <w:rPr>
                <w:rFonts w:asciiTheme="minorHAnsi" w:hAnsiTheme="minorHAnsi" w:cstheme="minorHAnsi"/>
              </w:rPr>
              <w:t>1736</w:t>
            </w:r>
          </w:p>
        </w:tc>
      </w:tr>
    </w:tbl>
    <w:p w:rsidR="00C06E9C" w:rsidRPr="00FB4E3B" w:rsidRDefault="00C06E9C" w:rsidP="00C06E9C">
      <w:pPr>
        <w:pStyle w:val="Legenda"/>
        <w:spacing w:line="276" w:lineRule="auto"/>
      </w:pPr>
      <w:r w:rsidRPr="00FB4E3B">
        <w:t>Źródło: Bank Danych Lokalnych GUS</w:t>
      </w:r>
    </w:p>
    <w:p w:rsidR="00C06E9C" w:rsidRDefault="00C06E9C" w:rsidP="00C06E9C">
      <w:pPr>
        <w:ind w:firstLine="709"/>
        <w:jc w:val="both"/>
      </w:pPr>
      <w:r w:rsidRPr="00C527FE">
        <w:t>W ostatnich latach odnotowano nieznacz</w:t>
      </w:r>
      <w:r>
        <w:t>ny przyrost liczby mieszkań. Głó</w:t>
      </w:r>
      <w:r w:rsidRPr="00C527FE">
        <w:t>wnie są to domy jednorodzinne</w:t>
      </w:r>
      <w:r>
        <w:t>.</w:t>
      </w:r>
    </w:p>
    <w:p w:rsidR="00C06E9C" w:rsidRDefault="00C06E9C" w:rsidP="00C06E9C">
      <w:pPr>
        <w:pStyle w:val="Legenda"/>
        <w:spacing w:line="276" w:lineRule="auto"/>
      </w:pPr>
      <w:bookmarkStart w:id="52" w:name="_Toc450829997"/>
      <w:bookmarkStart w:id="53" w:name="_Toc495887827"/>
      <w:r>
        <w:t xml:space="preserve">Wykres </w:t>
      </w:r>
      <w:r w:rsidR="00172343">
        <w:fldChar w:fldCharType="begin"/>
      </w:r>
      <w:r w:rsidR="00172343">
        <w:instrText xml:space="preserve"> SEQ Wykres \* ARABIC </w:instrText>
      </w:r>
      <w:r w:rsidR="00172343">
        <w:fldChar w:fldCharType="separate"/>
      </w:r>
      <w:r w:rsidR="00A57C08">
        <w:rPr>
          <w:noProof/>
        </w:rPr>
        <w:t>13</w:t>
      </w:r>
      <w:r w:rsidR="00172343">
        <w:rPr>
          <w:noProof/>
        </w:rPr>
        <w:fldChar w:fldCharType="end"/>
      </w:r>
      <w:r>
        <w:t xml:space="preserve"> Budownictwo mieszkaniowe w podziale na rodzaj budynków mieszkalnych</w:t>
      </w:r>
      <w:bookmarkEnd w:id="52"/>
      <w:bookmarkEnd w:id="53"/>
    </w:p>
    <w:p w:rsidR="00C06E9C" w:rsidRDefault="00C06E9C" w:rsidP="00C06E9C">
      <w:pPr>
        <w:rPr>
          <w:noProof/>
        </w:rPr>
      </w:pPr>
      <w:r>
        <w:rPr>
          <w:noProof/>
          <w:lang w:eastAsia="pl-PL"/>
        </w:rPr>
        <w:drawing>
          <wp:inline distT="0" distB="0" distL="0" distR="0" wp14:anchorId="75759201" wp14:editId="3A6F2CD2">
            <wp:extent cx="5705475" cy="2019300"/>
            <wp:effectExtent l="0" t="0" r="9525"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06E9C" w:rsidRDefault="00C06E9C" w:rsidP="00C06E9C">
      <w:pPr>
        <w:pStyle w:val="Legenda"/>
        <w:spacing w:line="276" w:lineRule="auto"/>
      </w:pPr>
      <w:r>
        <w:t xml:space="preserve">Źródło: Plan Gospodarki Niskoemisyjnej Gminy Tryńcza </w:t>
      </w:r>
    </w:p>
    <w:p w:rsidR="00C06E9C" w:rsidRDefault="00C06E9C" w:rsidP="00C06E9C">
      <w:pPr>
        <w:ind w:firstLine="709"/>
        <w:jc w:val="both"/>
      </w:pPr>
      <w:r>
        <w:lastRenderedPageBreak/>
        <w:t>Zgodnie z analizą wyników ankiet, prowadzonych na rzecz przygotowania Planu Gospodarki Niskoemisyjnej dla Gminy Tryńcza, domy jednorodzinne wolnostojące stanowią prawie 90% wszystkich gospodarstw domowych.</w:t>
      </w:r>
    </w:p>
    <w:p w:rsidR="00C06E9C" w:rsidRDefault="00C06E9C" w:rsidP="00C06E9C">
      <w:pPr>
        <w:ind w:firstLine="709"/>
        <w:jc w:val="both"/>
      </w:pPr>
      <w:r w:rsidRPr="000766F3">
        <w:t xml:space="preserve">Większość budynków mieszkalnych to budynki </w:t>
      </w:r>
      <w:r>
        <w:t>piętrowe</w:t>
      </w:r>
      <w:r w:rsidRPr="000766F3">
        <w:t xml:space="preserve">. Budynki dwupiętrowe nie stanowią więcej niż </w:t>
      </w:r>
      <w:r>
        <w:t>10</w:t>
      </w:r>
      <w:r w:rsidRPr="000766F3">
        <w:t>% wszystkich budynków.</w:t>
      </w:r>
    </w:p>
    <w:p w:rsidR="00C06E9C" w:rsidRDefault="00C06E9C" w:rsidP="00C06E9C">
      <w:pPr>
        <w:pStyle w:val="Legenda"/>
        <w:spacing w:line="276" w:lineRule="auto"/>
      </w:pPr>
      <w:bookmarkStart w:id="54" w:name="_Toc450829998"/>
      <w:r>
        <w:br/>
      </w:r>
      <w:bookmarkStart w:id="55" w:name="_Toc495887828"/>
      <w:r>
        <w:t xml:space="preserve">Wykres </w:t>
      </w:r>
      <w:r w:rsidR="00172343">
        <w:fldChar w:fldCharType="begin"/>
      </w:r>
      <w:r w:rsidR="00172343">
        <w:instrText xml:space="preserve"> SEQ Wykres \* ARABIC </w:instrText>
      </w:r>
      <w:r w:rsidR="00172343">
        <w:fldChar w:fldCharType="separate"/>
      </w:r>
      <w:r w:rsidR="00A57C08">
        <w:rPr>
          <w:noProof/>
        </w:rPr>
        <w:t>14</w:t>
      </w:r>
      <w:r w:rsidR="00172343">
        <w:rPr>
          <w:noProof/>
        </w:rPr>
        <w:fldChar w:fldCharType="end"/>
      </w:r>
      <w:r>
        <w:t xml:space="preserve"> Budownictwo mieszkaniowe w podziale na liczbę kondygnacji</w:t>
      </w:r>
      <w:bookmarkEnd w:id="54"/>
      <w:bookmarkEnd w:id="55"/>
    </w:p>
    <w:p w:rsidR="00C06E9C" w:rsidRDefault="00C06E9C" w:rsidP="00C06E9C">
      <w:r>
        <w:rPr>
          <w:noProof/>
          <w:lang w:eastAsia="pl-PL"/>
        </w:rPr>
        <w:drawing>
          <wp:inline distT="0" distB="0" distL="0" distR="0" wp14:anchorId="561742E3" wp14:editId="556DED0F">
            <wp:extent cx="5676900" cy="1724025"/>
            <wp:effectExtent l="0" t="0" r="0" b="9525"/>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06E9C" w:rsidRDefault="00C06E9C" w:rsidP="00C06E9C">
      <w:pPr>
        <w:pStyle w:val="Legenda"/>
        <w:spacing w:line="276" w:lineRule="auto"/>
      </w:pPr>
      <w:r>
        <w:t>Źródło: Plan Gospodarki Niskoemisyjnej Gminy Tryńcza</w:t>
      </w:r>
    </w:p>
    <w:p w:rsidR="00C06E9C" w:rsidRDefault="00C06E9C" w:rsidP="00C06E9C">
      <w:pPr>
        <w:ind w:firstLine="709"/>
        <w:jc w:val="both"/>
      </w:pPr>
      <w:r>
        <w:t>Średnia powierzchnia użytkowa mieszkania wg wyników badań ankietowych (dane za 2015) wynosi 135,42m</w:t>
      </w:r>
      <w:r w:rsidRPr="007627D1">
        <w:rPr>
          <w:vertAlign w:val="superscript"/>
        </w:rPr>
        <w:t>2</w:t>
      </w:r>
      <w:r>
        <w:t xml:space="preserve"> (wyniki ankiet </w:t>
      </w:r>
      <w:r w:rsidRPr="00CF4E52">
        <w:t>nie są porównywalne z danymi</w:t>
      </w:r>
      <w:r>
        <w:t xml:space="preserve"> GUS – dla 2015 r. -  91,99 m</w:t>
      </w:r>
      <w:r w:rsidRPr="007627D1">
        <w:rPr>
          <w:vertAlign w:val="superscript"/>
        </w:rPr>
        <w:t>2</w:t>
      </w:r>
      <w:r>
        <w:t>). Grupując budynki mieszkalne według klas wielkości największy odsetek respondentów zamieszkuje domy o powierzchni od 120 do 200 m</w:t>
      </w:r>
      <w:r w:rsidRPr="004C2597">
        <w:rPr>
          <w:vertAlign w:val="superscript"/>
        </w:rPr>
        <w:t>2</w:t>
      </w:r>
      <w:r>
        <w:t>.</w:t>
      </w:r>
    </w:p>
    <w:p w:rsidR="002943F5" w:rsidRDefault="002943F5" w:rsidP="00C06E9C">
      <w:pPr>
        <w:ind w:firstLine="709"/>
        <w:jc w:val="both"/>
      </w:pPr>
    </w:p>
    <w:p w:rsidR="002943F5" w:rsidRDefault="002943F5" w:rsidP="00C06E9C">
      <w:pPr>
        <w:ind w:firstLine="709"/>
        <w:jc w:val="both"/>
      </w:pPr>
    </w:p>
    <w:p w:rsidR="002943F5" w:rsidRDefault="002943F5" w:rsidP="00C06E9C">
      <w:pPr>
        <w:ind w:firstLine="709"/>
        <w:jc w:val="both"/>
      </w:pPr>
    </w:p>
    <w:p w:rsidR="00C06E9C" w:rsidRDefault="00C06E9C" w:rsidP="00C06E9C">
      <w:pPr>
        <w:pStyle w:val="Legenda"/>
        <w:spacing w:line="276" w:lineRule="auto"/>
      </w:pPr>
      <w:bookmarkStart w:id="56" w:name="_Toc450829999"/>
      <w:bookmarkStart w:id="57" w:name="_Toc495887829"/>
      <w:r>
        <w:t xml:space="preserve">Wykres </w:t>
      </w:r>
      <w:r w:rsidR="00172343">
        <w:fldChar w:fldCharType="begin"/>
      </w:r>
      <w:r w:rsidR="00172343">
        <w:instrText xml:space="preserve"> SEQ Wykres \* ARABIC </w:instrText>
      </w:r>
      <w:r w:rsidR="00172343">
        <w:fldChar w:fldCharType="separate"/>
      </w:r>
      <w:r w:rsidR="00A57C08">
        <w:rPr>
          <w:noProof/>
        </w:rPr>
        <w:t>15</w:t>
      </w:r>
      <w:r w:rsidR="00172343">
        <w:rPr>
          <w:noProof/>
        </w:rPr>
        <w:fldChar w:fldCharType="end"/>
      </w:r>
      <w:r>
        <w:t xml:space="preserve"> Budownictwo mieszkaniowe w podziale na powierzchnię użytkową</w:t>
      </w:r>
      <w:bookmarkEnd w:id="56"/>
      <w:bookmarkEnd w:id="57"/>
    </w:p>
    <w:p w:rsidR="00C06E9C" w:rsidRDefault="00C06E9C" w:rsidP="00C06E9C">
      <w:pPr>
        <w:pStyle w:val="Legenda"/>
        <w:spacing w:line="276" w:lineRule="auto"/>
        <w:rPr>
          <w:noProof/>
        </w:rPr>
      </w:pPr>
      <w:r>
        <w:rPr>
          <w:noProof/>
          <w:lang w:eastAsia="pl-PL"/>
        </w:rPr>
        <w:drawing>
          <wp:inline distT="0" distB="0" distL="0" distR="0" wp14:anchorId="752C362E" wp14:editId="3C278BD5">
            <wp:extent cx="5676900" cy="2057400"/>
            <wp:effectExtent l="0" t="0" r="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06E9C" w:rsidRDefault="00C06E9C" w:rsidP="00C06E9C">
      <w:pPr>
        <w:pStyle w:val="Legenda"/>
        <w:spacing w:line="276" w:lineRule="auto"/>
      </w:pPr>
      <w:r>
        <w:t>Źródło: Plan Gospodarki Niskoemisyjnej Gminy Tryńcza</w:t>
      </w:r>
    </w:p>
    <w:p w:rsidR="00C06E9C" w:rsidRDefault="00C06E9C" w:rsidP="00C06E9C">
      <w:pPr>
        <w:jc w:val="both"/>
      </w:pPr>
      <w:r>
        <w:lastRenderedPageBreak/>
        <w:tab/>
      </w:r>
      <w:r w:rsidRPr="008519A8">
        <w:t>Jak wynika z badań ankietowych</w:t>
      </w:r>
      <w:r>
        <w:t xml:space="preserve"> prawie </w:t>
      </w:r>
      <w:r w:rsidRPr="000766F3">
        <w:t xml:space="preserve">¾ wszystkich budynków mieszkalnych zostało zbudowanych w II połowie XX wieku. Po 2000 roku wybudowano </w:t>
      </w:r>
      <w:r>
        <w:t>prawie 18</w:t>
      </w:r>
      <w:r w:rsidRPr="000766F3">
        <w:t>% wszystkich budynków mieszkalnych w gminie.</w:t>
      </w:r>
    </w:p>
    <w:p w:rsidR="00C06E9C" w:rsidRPr="007F6604" w:rsidRDefault="00C06E9C" w:rsidP="00C06E9C">
      <w:pPr>
        <w:pStyle w:val="Legenda"/>
        <w:spacing w:line="276" w:lineRule="auto"/>
      </w:pPr>
      <w:bookmarkStart w:id="58" w:name="_Toc450830000"/>
      <w:bookmarkStart w:id="59" w:name="_Toc495887830"/>
      <w:r>
        <w:t xml:space="preserve">Wykres </w:t>
      </w:r>
      <w:r w:rsidR="00172343">
        <w:fldChar w:fldCharType="begin"/>
      </w:r>
      <w:r w:rsidR="00172343">
        <w:instrText xml:space="preserve"> SEQ Wykres \* ARABIC </w:instrText>
      </w:r>
      <w:r w:rsidR="00172343">
        <w:fldChar w:fldCharType="separate"/>
      </w:r>
      <w:r w:rsidR="00A57C08">
        <w:rPr>
          <w:noProof/>
        </w:rPr>
        <w:t>16</w:t>
      </w:r>
      <w:r w:rsidR="00172343">
        <w:rPr>
          <w:noProof/>
        </w:rPr>
        <w:fldChar w:fldCharType="end"/>
      </w:r>
      <w:r>
        <w:t xml:space="preserve"> Budownictwo mieszkaniowe w podziale na lata budowy</w:t>
      </w:r>
      <w:bookmarkEnd w:id="58"/>
      <w:bookmarkEnd w:id="59"/>
    </w:p>
    <w:p w:rsidR="00C06E9C" w:rsidRPr="007F6604" w:rsidRDefault="00C06E9C" w:rsidP="00C06E9C">
      <w:r>
        <w:rPr>
          <w:noProof/>
          <w:lang w:eastAsia="pl-PL"/>
        </w:rPr>
        <w:drawing>
          <wp:inline distT="0" distB="0" distL="0" distR="0" wp14:anchorId="542C2D4A" wp14:editId="3DD25197">
            <wp:extent cx="5724525" cy="1781175"/>
            <wp:effectExtent l="0" t="0" r="9525" b="9525"/>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06E9C" w:rsidRDefault="00C06E9C" w:rsidP="00C06E9C">
      <w:pPr>
        <w:pStyle w:val="Legenda"/>
        <w:spacing w:line="276" w:lineRule="auto"/>
      </w:pPr>
      <w:r>
        <w:t>Źródło: Opracowanie własne na podstawie wyników badań ankietowych</w:t>
      </w:r>
    </w:p>
    <w:p w:rsidR="00C06E9C" w:rsidRDefault="00C06E9C" w:rsidP="00C06E9C">
      <w:pPr>
        <w:ind w:firstLine="709"/>
        <w:jc w:val="both"/>
      </w:pPr>
      <w:r>
        <w:t>Według danych Głównego Urzędu Statystycznego w centralne ogrzewanie wyposażonych jest prawie 65% mieszkań, wodociąg  doprowadzony jest do ponad 90% mieszkań i prawie 60% gaz sieciowy.</w:t>
      </w:r>
    </w:p>
    <w:p w:rsidR="00C06E9C" w:rsidRDefault="00C06E9C" w:rsidP="00C06E9C">
      <w:pPr>
        <w:pStyle w:val="Legenda"/>
        <w:spacing w:line="276" w:lineRule="auto"/>
      </w:pPr>
      <w:bookmarkStart w:id="60" w:name="_Toc450829963"/>
      <w:bookmarkStart w:id="61" w:name="_Toc495887800"/>
      <w:r>
        <w:t xml:space="preserve">Tabela </w:t>
      </w:r>
      <w:r w:rsidR="00172343">
        <w:fldChar w:fldCharType="begin"/>
      </w:r>
      <w:r w:rsidR="00172343">
        <w:instrText xml:space="preserve"> SEQ Tabela \* ARABIC </w:instrText>
      </w:r>
      <w:r w:rsidR="00172343">
        <w:fldChar w:fldCharType="separate"/>
      </w:r>
      <w:r w:rsidR="00D67FEC">
        <w:rPr>
          <w:noProof/>
        </w:rPr>
        <w:t>11</w:t>
      </w:r>
      <w:r w:rsidR="00172343">
        <w:rPr>
          <w:noProof/>
        </w:rPr>
        <w:fldChar w:fldCharType="end"/>
      </w:r>
      <w:r>
        <w:rPr>
          <w:noProof/>
        </w:rPr>
        <w:t xml:space="preserve"> </w:t>
      </w:r>
      <w:r w:rsidRPr="006554FA">
        <w:t>Mieszkania wyposażone w instalacje - w % ogółu mieszkań</w:t>
      </w:r>
      <w:bookmarkEnd w:id="60"/>
      <w:bookmarkEnd w:id="61"/>
    </w:p>
    <w:tbl>
      <w:tblPr>
        <w:tblStyle w:val="Tabelasiatki5ciemnaakcent32"/>
        <w:tblW w:w="9288" w:type="dxa"/>
        <w:tblLayout w:type="fixed"/>
        <w:tblLook w:val="04A0" w:firstRow="1" w:lastRow="0" w:firstColumn="1" w:lastColumn="0" w:noHBand="0" w:noVBand="1"/>
      </w:tblPr>
      <w:tblGrid>
        <w:gridCol w:w="2635"/>
        <w:gridCol w:w="831"/>
        <w:gridCol w:w="832"/>
        <w:gridCol w:w="831"/>
        <w:gridCol w:w="832"/>
        <w:gridCol w:w="832"/>
        <w:gridCol w:w="831"/>
        <w:gridCol w:w="832"/>
        <w:gridCol w:w="832"/>
      </w:tblGrid>
      <w:tr w:rsidR="00C06E9C" w:rsidRPr="00247B90" w:rsidTr="001957AA">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635" w:type="dxa"/>
            <w:hideMark/>
          </w:tcPr>
          <w:p w:rsidR="00C06E9C" w:rsidRPr="00247B90" w:rsidRDefault="00C06E9C" w:rsidP="00481877">
            <w:pPr>
              <w:spacing w:line="276" w:lineRule="auto"/>
              <w:rPr>
                <w:rFonts w:asciiTheme="minorHAnsi" w:hAnsiTheme="minorHAnsi" w:cstheme="minorHAnsi"/>
                <w:bCs w:val="0"/>
                <w:color w:val="FFFFFF"/>
                <w:sz w:val="18"/>
                <w:szCs w:val="18"/>
              </w:rPr>
            </w:pPr>
          </w:p>
        </w:tc>
        <w:tc>
          <w:tcPr>
            <w:tcW w:w="831" w:type="dxa"/>
            <w:noWrap/>
            <w:hideMark/>
          </w:tcPr>
          <w:p w:rsidR="00C06E9C" w:rsidRPr="00247B90" w:rsidRDefault="00C06E9C" w:rsidP="00481877">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18"/>
                <w:szCs w:val="18"/>
              </w:rPr>
            </w:pPr>
            <w:r w:rsidRPr="00247B90">
              <w:rPr>
                <w:rFonts w:asciiTheme="minorHAnsi" w:hAnsiTheme="minorHAnsi" w:cstheme="minorHAnsi"/>
                <w:bCs w:val="0"/>
                <w:color w:val="FFFFFF"/>
                <w:sz w:val="18"/>
                <w:szCs w:val="18"/>
              </w:rPr>
              <w:t>2008</w:t>
            </w:r>
          </w:p>
        </w:tc>
        <w:tc>
          <w:tcPr>
            <w:tcW w:w="832" w:type="dxa"/>
            <w:noWrap/>
            <w:hideMark/>
          </w:tcPr>
          <w:p w:rsidR="00C06E9C" w:rsidRPr="00247B90" w:rsidRDefault="00C06E9C" w:rsidP="00481877">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18"/>
                <w:szCs w:val="18"/>
              </w:rPr>
            </w:pPr>
            <w:r w:rsidRPr="00247B90">
              <w:rPr>
                <w:rFonts w:asciiTheme="minorHAnsi" w:hAnsiTheme="minorHAnsi" w:cstheme="minorHAnsi"/>
                <w:bCs w:val="0"/>
                <w:color w:val="FFFFFF"/>
                <w:sz w:val="18"/>
                <w:szCs w:val="18"/>
              </w:rPr>
              <w:t>2009</w:t>
            </w:r>
          </w:p>
        </w:tc>
        <w:tc>
          <w:tcPr>
            <w:tcW w:w="831" w:type="dxa"/>
            <w:noWrap/>
            <w:hideMark/>
          </w:tcPr>
          <w:p w:rsidR="00C06E9C" w:rsidRPr="00247B90" w:rsidRDefault="00C06E9C" w:rsidP="00481877">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18"/>
                <w:szCs w:val="18"/>
              </w:rPr>
            </w:pPr>
            <w:r w:rsidRPr="00247B90">
              <w:rPr>
                <w:rFonts w:asciiTheme="minorHAnsi" w:hAnsiTheme="minorHAnsi" w:cstheme="minorHAnsi"/>
                <w:bCs w:val="0"/>
                <w:color w:val="FFFFFF"/>
                <w:sz w:val="18"/>
                <w:szCs w:val="18"/>
              </w:rPr>
              <w:t>2010</w:t>
            </w:r>
          </w:p>
        </w:tc>
        <w:tc>
          <w:tcPr>
            <w:tcW w:w="832" w:type="dxa"/>
            <w:noWrap/>
            <w:hideMark/>
          </w:tcPr>
          <w:p w:rsidR="00C06E9C" w:rsidRPr="00247B90" w:rsidRDefault="00C06E9C" w:rsidP="00481877">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18"/>
                <w:szCs w:val="18"/>
              </w:rPr>
            </w:pPr>
            <w:r w:rsidRPr="00247B90">
              <w:rPr>
                <w:rFonts w:asciiTheme="minorHAnsi" w:hAnsiTheme="minorHAnsi" w:cstheme="minorHAnsi"/>
                <w:bCs w:val="0"/>
                <w:color w:val="FFFFFF"/>
                <w:sz w:val="18"/>
                <w:szCs w:val="18"/>
              </w:rPr>
              <w:t>2011</w:t>
            </w:r>
          </w:p>
        </w:tc>
        <w:tc>
          <w:tcPr>
            <w:tcW w:w="832" w:type="dxa"/>
            <w:noWrap/>
            <w:hideMark/>
          </w:tcPr>
          <w:p w:rsidR="00C06E9C" w:rsidRPr="00247B90" w:rsidRDefault="00C06E9C" w:rsidP="00481877">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18"/>
                <w:szCs w:val="18"/>
              </w:rPr>
            </w:pPr>
            <w:r w:rsidRPr="00247B90">
              <w:rPr>
                <w:rFonts w:asciiTheme="minorHAnsi" w:hAnsiTheme="minorHAnsi" w:cstheme="minorHAnsi"/>
                <w:bCs w:val="0"/>
                <w:color w:val="FFFFFF"/>
                <w:sz w:val="18"/>
                <w:szCs w:val="18"/>
              </w:rPr>
              <w:t>2012</w:t>
            </w:r>
          </w:p>
        </w:tc>
        <w:tc>
          <w:tcPr>
            <w:tcW w:w="831" w:type="dxa"/>
            <w:noWrap/>
            <w:hideMark/>
          </w:tcPr>
          <w:p w:rsidR="00C06E9C" w:rsidRPr="00247B90" w:rsidRDefault="00C06E9C" w:rsidP="00481877">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18"/>
                <w:szCs w:val="18"/>
              </w:rPr>
            </w:pPr>
            <w:r w:rsidRPr="00247B90">
              <w:rPr>
                <w:rFonts w:asciiTheme="minorHAnsi" w:hAnsiTheme="minorHAnsi" w:cstheme="minorHAnsi"/>
                <w:bCs w:val="0"/>
                <w:color w:val="FFFFFF"/>
                <w:sz w:val="18"/>
                <w:szCs w:val="18"/>
              </w:rPr>
              <w:t>2013</w:t>
            </w:r>
          </w:p>
        </w:tc>
        <w:tc>
          <w:tcPr>
            <w:tcW w:w="832" w:type="dxa"/>
          </w:tcPr>
          <w:p w:rsidR="00C06E9C" w:rsidRPr="00247B90" w:rsidRDefault="00C06E9C" w:rsidP="004818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szCs w:val="18"/>
              </w:rPr>
            </w:pPr>
            <w:r w:rsidRPr="00247B90">
              <w:rPr>
                <w:rFonts w:asciiTheme="minorHAnsi" w:hAnsiTheme="minorHAnsi" w:cstheme="minorHAnsi"/>
                <w:color w:val="FFFFFF"/>
                <w:sz w:val="18"/>
                <w:szCs w:val="18"/>
              </w:rPr>
              <w:t>2014</w:t>
            </w:r>
          </w:p>
        </w:tc>
        <w:tc>
          <w:tcPr>
            <w:tcW w:w="832" w:type="dxa"/>
          </w:tcPr>
          <w:p w:rsidR="00C06E9C" w:rsidRPr="00247B90" w:rsidRDefault="00C06E9C" w:rsidP="004818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szCs w:val="18"/>
              </w:rPr>
            </w:pPr>
            <w:r w:rsidRPr="00247B90">
              <w:rPr>
                <w:rFonts w:asciiTheme="minorHAnsi" w:hAnsiTheme="minorHAnsi" w:cstheme="minorHAnsi"/>
                <w:color w:val="FFFFFF"/>
                <w:sz w:val="18"/>
                <w:szCs w:val="18"/>
              </w:rPr>
              <w:t>2015</w:t>
            </w:r>
          </w:p>
        </w:tc>
      </w:tr>
      <w:tr w:rsidR="00C06E9C" w:rsidRPr="00247B90" w:rsidTr="001957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5" w:type="dxa"/>
            <w:hideMark/>
          </w:tcPr>
          <w:p w:rsidR="00C06E9C" w:rsidRPr="00247B90" w:rsidRDefault="00C06E9C" w:rsidP="00481877">
            <w:pPr>
              <w:spacing w:line="276" w:lineRule="auto"/>
              <w:rPr>
                <w:rFonts w:asciiTheme="minorHAnsi" w:hAnsiTheme="minorHAnsi" w:cstheme="minorHAnsi"/>
                <w:color w:val="000000"/>
                <w:sz w:val="18"/>
                <w:szCs w:val="18"/>
              </w:rPr>
            </w:pPr>
            <w:r w:rsidRPr="00247B90">
              <w:rPr>
                <w:rFonts w:asciiTheme="minorHAnsi" w:hAnsiTheme="minorHAnsi" w:cstheme="minorHAnsi"/>
                <w:color w:val="000000"/>
                <w:sz w:val="18"/>
                <w:szCs w:val="18"/>
              </w:rPr>
              <w:t>wodociąg</w:t>
            </w:r>
          </w:p>
        </w:tc>
        <w:tc>
          <w:tcPr>
            <w:tcW w:w="831" w:type="dxa"/>
            <w:noWrap/>
            <w:hideMark/>
          </w:tcPr>
          <w:p w:rsidR="00C06E9C" w:rsidRPr="00247B90" w:rsidRDefault="00C06E9C" w:rsidP="004818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B90">
              <w:rPr>
                <w:rFonts w:asciiTheme="minorHAnsi" w:hAnsiTheme="minorHAnsi" w:cstheme="minorHAnsi"/>
                <w:b/>
                <w:sz w:val="18"/>
                <w:szCs w:val="18"/>
              </w:rPr>
              <w:t>88,4</w:t>
            </w:r>
          </w:p>
        </w:tc>
        <w:tc>
          <w:tcPr>
            <w:tcW w:w="832" w:type="dxa"/>
            <w:noWrap/>
            <w:hideMark/>
          </w:tcPr>
          <w:p w:rsidR="00C06E9C" w:rsidRPr="00247B90" w:rsidRDefault="00C06E9C" w:rsidP="004818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B90">
              <w:rPr>
                <w:rFonts w:asciiTheme="minorHAnsi" w:hAnsiTheme="minorHAnsi" w:cstheme="minorHAnsi"/>
                <w:b/>
                <w:sz w:val="18"/>
                <w:szCs w:val="18"/>
              </w:rPr>
              <w:t>88,5</w:t>
            </w:r>
          </w:p>
        </w:tc>
        <w:tc>
          <w:tcPr>
            <w:tcW w:w="831" w:type="dxa"/>
            <w:noWrap/>
            <w:hideMark/>
          </w:tcPr>
          <w:p w:rsidR="00C06E9C" w:rsidRPr="00247B90" w:rsidRDefault="00C06E9C" w:rsidP="004818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B90">
              <w:rPr>
                <w:rFonts w:asciiTheme="minorHAnsi" w:hAnsiTheme="minorHAnsi" w:cstheme="minorHAnsi"/>
                <w:b/>
                <w:sz w:val="18"/>
                <w:szCs w:val="18"/>
              </w:rPr>
              <w:t>90,8</w:t>
            </w:r>
          </w:p>
        </w:tc>
        <w:tc>
          <w:tcPr>
            <w:tcW w:w="832" w:type="dxa"/>
            <w:noWrap/>
            <w:hideMark/>
          </w:tcPr>
          <w:p w:rsidR="00C06E9C" w:rsidRPr="00247B90" w:rsidRDefault="00C06E9C" w:rsidP="004818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B90">
              <w:rPr>
                <w:rFonts w:asciiTheme="minorHAnsi" w:hAnsiTheme="minorHAnsi" w:cstheme="minorHAnsi"/>
                <w:b/>
                <w:sz w:val="18"/>
                <w:szCs w:val="18"/>
              </w:rPr>
              <w:t>90,9</w:t>
            </w:r>
          </w:p>
        </w:tc>
        <w:tc>
          <w:tcPr>
            <w:tcW w:w="832" w:type="dxa"/>
            <w:noWrap/>
            <w:hideMark/>
          </w:tcPr>
          <w:p w:rsidR="00C06E9C" w:rsidRPr="00247B90" w:rsidRDefault="00C06E9C" w:rsidP="004818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B90">
              <w:rPr>
                <w:rFonts w:asciiTheme="minorHAnsi" w:hAnsiTheme="minorHAnsi" w:cstheme="minorHAnsi"/>
                <w:b/>
                <w:sz w:val="18"/>
                <w:szCs w:val="18"/>
              </w:rPr>
              <w:t>91,0</w:t>
            </w:r>
          </w:p>
        </w:tc>
        <w:tc>
          <w:tcPr>
            <w:tcW w:w="831" w:type="dxa"/>
            <w:noWrap/>
            <w:hideMark/>
          </w:tcPr>
          <w:p w:rsidR="00C06E9C" w:rsidRPr="00247B90" w:rsidRDefault="00C06E9C" w:rsidP="004818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B90">
              <w:rPr>
                <w:rFonts w:asciiTheme="minorHAnsi" w:hAnsiTheme="minorHAnsi" w:cstheme="minorHAnsi"/>
                <w:b/>
                <w:sz w:val="18"/>
                <w:szCs w:val="18"/>
              </w:rPr>
              <w:t>91,0</w:t>
            </w:r>
          </w:p>
        </w:tc>
        <w:tc>
          <w:tcPr>
            <w:tcW w:w="832" w:type="dxa"/>
          </w:tcPr>
          <w:p w:rsidR="00C06E9C" w:rsidRPr="00247B90" w:rsidRDefault="00C06E9C" w:rsidP="004818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247B90">
              <w:rPr>
                <w:rFonts w:asciiTheme="minorHAnsi" w:hAnsiTheme="minorHAnsi"/>
                <w:b/>
                <w:sz w:val="18"/>
                <w:szCs w:val="18"/>
              </w:rPr>
              <w:t>91,1</w:t>
            </w:r>
          </w:p>
        </w:tc>
        <w:tc>
          <w:tcPr>
            <w:tcW w:w="832" w:type="dxa"/>
          </w:tcPr>
          <w:p w:rsidR="00C06E9C" w:rsidRPr="00247B90" w:rsidRDefault="00C06E9C" w:rsidP="004818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247B90">
              <w:rPr>
                <w:rFonts w:asciiTheme="minorHAnsi" w:hAnsiTheme="minorHAnsi"/>
                <w:b/>
                <w:sz w:val="18"/>
                <w:szCs w:val="18"/>
              </w:rPr>
              <w:t>91,2</w:t>
            </w:r>
          </w:p>
        </w:tc>
      </w:tr>
      <w:tr w:rsidR="00C06E9C" w:rsidRPr="00247B90" w:rsidTr="001957AA">
        <w:trPr>
          <w:trHeight w:val="300"/>
        </w:trPr>
        <w:tc>
          <w:tcPr>
            <w:cnfStyle w:val="001000000000" w:firstRow="0" w:lastRow="0" w:firstColumn="1" w:lastColumn="0" w:oddVBand="0" w:evenVBand="0" w:oddHBand="0" w:evenHBand="0" w:firstRowFirstColumn="0" w:firstRowLastColumn="0" w:lastRowFirstColumn="0" w:lastRowLastColumn="0"/>
            <w:tcW w:w="2635" w:type="dxa"/>
            <w:hideMark/>
          </w:tcPr>
          <w:p w:rsidR="00C06E9C" w:rsidRPr="00247B90" w:rsidRDefault="00C06E9C" w:rsidP="00481877">
            <w:pPr>
              <w:spacing w:line="276" w:lineRule="auto"/>
              <w:rPr>
                <w:rFonts w:asciiTheme="minorHAnsi" w:hAnsiTheme="minorHAnsi" w:cstheme="minorHAnsi"/>
                <w:color w:val="000000"/>
                <w:sz w:val="18"/>
                <w:szCs w:val="18"/>
              </w:rPr>
            </w:pPr>
            <w:r w:rsidRPr="00247B90">
              <w:rPr>
                <w:rFonts w:asciiTheme="minorHAnsi" w:hAnsiTheme="minorHAnsi" w:cstheme="minorHAnsi"/>
                <w:color w:val="000000"/>
                <w:sz w:val="18"/>
                <w:szCs w:val="18"/>
              </w:rPr>
              <w:t>łazienka</w:t>
            </w:r>
          </w:p>
        </w:tc>
        <w:tc>
          <w:tcPr>
            <w:tcW w:w="831" w:type="dxa"/>
            <w:noWrap/>
            <w:hideMark/>
          </w:tcPr>
          <w:p w:rsidR="00C06E9C" w:rsidRPr="00247B90" w:rsidRDefault="00C06E9C" w:rsidP="004818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B90">
              <w:rPr>
                <w:rFonts w:asciiTheme="minorHAnsi" w:hAnsiTheme="minorHAnsi" w:cstheme="minorHAnsi"/>
                <w:b/>
                <w:sz w:val="18"/>
                <w:szCs w:val="18"/>
              </w:rPr>
              <w:t>73,2</w:t>
            </w:r>
          </w:p>
        </w:tc>
        <w:tc>
          <w:tcPr>
            <w:tcW w:w="832" w:type="dxa"/>
            <w:noWrap/>
            <w:hideMark/>
          </w:tcPr>
          <w:p w:rsidR="00C06E9C" w:rsidRPr="00247B90" w:rsidRDefault="00C06E9C" w:rsidP="004818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B90">
              <w:rPr>
                <w:rFonts w:asciiTheme="minorHAnsi" w:hAnsiTheme="minorHAnsi" w:cstheme="minorHAnsi"/>
                <w:b/>
                <w:sz w:val="18"/>
                <w:szCs w:val="18"/>
              </w:rPr>
              <w:t>73,5</w:t>
            </w:r>
          </w:p>
        </w:tc>
        <w:tc>
          <w:tcPr>
            <w:tcW w:w="831" w:type="dxa"/>
            <w:noWrap/>
            <w:hideMark/>
          </w:tcPr>
          <w:p w:rsidR="00C06E9C" w:rsidRPr="00247B90" w:rsidRDefault="00C06E9C" w:rsidP="004818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B90">
              <w:rPr>
                <w:rFonts w:asciiTheme="minorHAnsi" w:hAnsiTheme="minorHAnsi" w:cstheme="minorHAnsi"/>
                <w:b/>
                <w:sz w:val="18"/>
                <w:szCs w:val="18"/>
              </w:rPr>
              <w:t>78,8</w:t>
            </w:r>
          </w:p>
        </w:tc>
        <w:tc>
          <w:tcPr>
            <w:tcW w:w="832" w:type="dxa"/>
            <w:noWrap/>
            <w:hideMark/>
          </w:tcPr>
          <w:p w:rsidR="00C06E9C" w:rsidRPr="00247B90" w:rsidRDefault="00C06E9C" w:rsidP="004818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B90">
              <w:rPr>
                <w:rFonts w:asciiTheme="minorHAnsi" w:hAnsiTheme="minorHAnsi" w:cstheme="minorHAnsi"/>
                <w:b/>
                <w:sz w:val="18"/>
                <w:szCs w:val="18"/>
              </w:rPr>
              <w:t>78,9</w:t>
            </w:r>
          </w:p>
        </w:tc>
        <w:tc>
          <w:tcPr>
            <w:tcW w:w="832" w:type="dxa"/>
            <w:noWrap/>
            <w:hideMark/>
          </w:tcPr>
          <w:p w:rsidR="00C06E9C" w:rsidRPr="00247B90" w:rsidRDefault="00C06E9C" w:rsidP="004818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B90">
              <w:rPr>
                <w:rFonts w:asciiTheme="minorHAnsi" w:hAnsiTheme="minorHAnsi" w:cstheme="minorHAnsi"/>
                <w:b/>
                <w:sz w:val="18"/>
                <w:szCs w:val="18"/>
              </w:rPr>
              <w:t>79,1</w:t>
            </w:r>
          </w:p>
        </w:tc>
        <w:tc>
          <w:tcPr>
            <w:tcW w:w="831" w:type="dxa"/>
            <w:noWrap/>
            <w:hideMark/>
          </w:tcPr>
          <w:p w:rsidR="00C06E9C" w:rsidRPr="00247B90" w:rsidRDefault="00C06E9C" w:rsidP="004818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B90">
              <w:rPr>
                <w:rFonts w:asciiTheme="minorHAnsi" w:hAnsiTheme="minorHAnsi" w:cstheme="minorHAnsi"/>
                <w:b/>
                <w:sz w:val="18"/>
                <w:szCs w:val="18"/>
              </w:rPr>
              <w:t>79,2</w:t>
            </w:r>
          </w:p>
        </w:tc>
        <w:tc>
          <w:tcPr>
            <w:tcW w:w="832" w:type="dxa"/>
          </w:tcPr>
          <w:p w:rsidR="00C06E9C" w:rsidRPr="00247B90" w:rsidRDefault="00C06E9C" w:rsidP="004818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247B90">
              <w:rPr>
                <w:rFonts w:asciiTheme="minorHAnsi" w:hAnsiTheme="minorHAnsi"/>
                <w:b/>
                <w:sz w:val="18"/>
                <w:szCs w:val="18"/>
              </w:rPr>
              <w:t>79,4</w:t>
            </w:r>
          </w:p>
        </w:tc>
        <w:tc>
          <w:tcPr>
            <w:tcW w:w="832" w:type="dxa"/>
          </w:tcPr>
          <w:p w:rsidR="00C06E9C" w:rsidRPr="00247B90" w:rsidRDefault="00C06E9C" w:rsidP="004818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247B90">
              <w:rPr>
                <w:rFonts w:asciiTheme="minorHAnsi" w:hAnsiTheme="minorHAnsi"/>
                <w:b/>
                <w:sz w:val="18"/>
                <w:szCs w:val="18"/>
              </w:rPr>
              <w:t>79,7</w:t>
            </w:r>
          </w:p>
        </w:tc>
      </w:tr>
      <w:tr w:rsidR="00C06E9C" w:rsidRPr="00247B90" w:rsidTr="001957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5" w:type="dxa"/>
            <w:hideMark/>
          </w:tcPr>
          <w:p w:rsidR="00C06E9C" w:rsidRPr="00247B90" w:rsidRDefault="00C06E9C" w:rsidP="00481877">
            <w:pPr>
              <w:spacing w:line="276" w:lineRule="auto"/>
              <w:rPr>
                <w:rFonts w:asciiTheme="minorHAnsi" w:hAnsiTheme="minorHAnsi" w:cstheme="minorHAnsi"/>
                <w:color w:val="000000"/>
                <w:sz w:val="18"/>
                <w:szCs w:val="18"/>
              </w:rPr>
            </w:pPr>
            <w:r w:rsidRPr="00247B90">
              <w:rPr>
                <w:rFonts w:asciiTheme="minorHAnsi" w:hAnsiTheme="minorHAnsi" w:cstheme="minorHAnsi"/>
                <w:color w:val="000000"/>
                <w:sz w:val="18"/>
                <w:szCs w:val="18"/>
              </w:rPr>
              <w:t>centralne ogrzewanie</w:t>
            </w:r>
          </w:p>
        </w:tc>
        <w:tc>
          <w:tcPr>
            <w:tcW w:w="831" w:type="dxa"/>
            <w:noWrap/>
            <w:hideMark/>
          </w:tcPr>
          <w:p w:rsidR="00C06E9C" w:rsidRPr="00247B90" w:rsidRDefault="00C06E9C" w:rsidP="004818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B90">
              <w:rPr>
                <w:rFonts w:asciiTheme="minorHAnsi" w:hAnsiTheme="minorHAnsi" w:cstheme="minorHAnsi"/>
                <w:b/>
                <w:sz w:val="18"/>
                <w:szCs w:val="18"/>
              </w:rPr>
              <w:t>57,9</w:t>
            </w:r>
          </w:p>
        </w:tc>
        <w:tc>
          <w:tcPr>
            <w:tcW w:w="832" w:type="dxa"/>
            <w:noWrap/>
            <w:hideMark/>
          </w:tcPr>
          <w:p w:rsidR="00C06E9C" w:rsidRPr="00247B90" w:rsidRDefault="00C06E9C" w:rsidP="004818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B90">
              <w:rPr>
                <w:rFonts w:asciiTheme="minorHAnsi" w:hAnsiTheme="minorHAnsi" w:cstheme="minorHAnsi"/>
                <w:b/>
                <w:sz w:val="18"/>
                <w:szCs w:val="18"/>
              </w:rPr>
              <w:t>58,5</w:t>
            </w:r>
          </w:p>
        </w:tc>
        <w:tc>
          <w:tcPr>
            <w:tcW w:w="831" w:type="dxa"/>
            <w:noWrap/>
            <w:hideMark/>
          </w:tcPr>
          <w:p w:rsidR="00C06E9C" w:rsidRPr="00247B90" w:rsidRDefault="00C06E9C" w:rsidP="004818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B90">
              <w:rPr>
                <w:rFonts w:asciiTheme="minorHAnsi" w:hAnsiTheme="minorHAnsi" w:cstheme="minorHAnsi"/>
                <w:b/>
                <w:sz w:val="18"/>
                <w:szCs w:val="18"/>
              </w:rPr>
              <w:t>63,2</w:t>
            </w:r>
          </w:p>
        </w:tc>
        <w:tc>
          <w:tcPr>
            <w:tcW w:w="832" w:type="dxa"/>
            <w:noWrap/>
            <w:hideMark/>
          </w:tcPr>
          <w:p w:rsidR="00C06E9C" w:rsidRPr="00247B90" w:rsidRDefault="00C06E9C" w:rsidP="004818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B90">
              <w:rPr>
                <w:rFonts w:asciiTheme="minorHAnsi" w:hAnsiTheme="minorHAnsi" w:cstheme="minorHAnsi"/>
                <w:b/>
                <w:sz w:val="18"/>
                <w:szCs w:val="18"/>
              </w:rPr>
              <w:t>63,4</w:t>
            </w:r>
          </w:p>
        </w:tc>
        <w:tc>
          <w:tcPr>
            <w:tcW w:w="832" w:type="dxa"/>
            <w:noWrap/>
            <w:hideMark/>
          </w:tcPr>
          <w:p w:rsidR="00C06E9C" w:rsidRPr="00247B90" w:rsidRDefault="00C06E9C" w:rsidP="004818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B90">
              <w:rPr>
                <w:rFonts w:asciiTheme="minorHAnsi" w:hAnsiTheme="minorHAnsi" w:cstheme="minorHAnsi"/>
                <w:b/>
                <w:sz w:val="18"/>
                <w:szCs w:val="18"/>
              </w:rPr>
              <w:t>63,8</w:t>
            </w:r>
          </w:p>
        </w:tc>
        <w:tc>
          <w:tcPr>
            <w:tcW w:w="831" w:type="dxa"/>
            <w:noWrap/>
            <w:hideMark/>
          </w:tcPr>
          <w:p w:rsidR="00C06E9C" w:rsidRPr="00247B90" w:rsidRDefault="00C06E9C" w:rsidP="004818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B90">
              <w:rPr>
                <w:rFonts w:asciiTheme="minorHAnsi" w:hAnsiTheme="minorHAnsi" w:cstheme="minorHAnsi"/>
                <w:b/>
                <w:sz w:val="18"/>
                <w:szCs w:val="18"/>
              </w:rPr>
              <w:t>64,0</w:t>
            </w:r>
          </w:p>
        </w:tc>
        <w:tc>
          <w:tcPr>
            <w:tcW w:w="832" w:type="dxa"/>
          </w:tcPr>
          <w:p w:rsidR="00C06E9C" w:rsidRPr="00247B90" w:rsidRDefault="00C06E9C" w:rsidP="004818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247B90">
              <w:rPr>
                <w:rFonts w:asciiTheme="minorHAnsi" w:hAnsiTheme="minorHAnsi"/>
                <w:b/>
                <w:sz w:val="18"/>
                <w:szCs w:val="18"/>
              </w:rPr>
              <w:t>64,3</w:t>
            </w:r>
          </w:p>
        </w:tc>
        <w:tc>
          <w:tcPr>
            <w:tcW w:w="832" w:type="dxa"/>
          </w:tcPr>
          <w:p w:rsidR="00C06E9C" w:rsidRPr="00247B90" w:rsidRDefault="00C06E9C" w:rsidP="004818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247B90">
              <w:rPr>
                <w:rFonts w:asciiTheme="minorHAnsi" w:hAnsiTheme="minorHAnsi"/>
                <w:b/>
                <w:sz w:val="18"/>
                <w:szCs w:val="18"/>
              </w:rPr>
              <w:t>64,7</w:t>
            </w:r>
          </w:p>
        </w:tc>
      </w:tr>
      <w:tr w:rsidR="00C06E9C" w:rsidRPr="00247B90" w:rsidTr="001957AA">
        <w:trPr>
          <w:trHeight w:val="300"/>
        </w:trPr>
        <w:tc>
          <w:tcPr>
            <w:cnfStyle w:val="001000000000" w:firstRow="0" w:lastRow="0" w:firstColumn="1" w:lastColumn="0" w:oddVBand="0" w:evenVBand="0" w:oddHBand="0" w:evenHBand="0" w:firstRowFirstColumn="0" w:firstRowLastColumn="0" w:lastRowFirstColumn="0" w:lastRowLastColumn="0"/>
            <w:tcW w:w="2635" w:type="dxa"/>
            <w:hideMark/>
          </w:tcPr>
          <w:p w:rsidR="00C06E9C" w:rsidRPr="00247B90" w:rsidRDefault="00C06E9C" w:rsidP="00481877">
            <w:pPr>
              <w:spacing w:line="276" w:lineRule="auto"/>
              <w:rPr>
                <w:rFonts w:asciiTheme="minorHAnsi" w:hAnsiTheme="minorHAnsi" w:cstheme="minorHAnsi"/>
                <w:color w:val="000000"/>
                <w:sz w:val="18"/>
                <w:szCs w:val="18"/>
              </w:rPr>
            </w:pPr>
            <w:r w:rsidRPr="00247B90">
              <w:rPr>
                <w:rFonts w:asciiTheme="minorHAnsi" w:hAnsiTheme="minorHAnsi" w:cstheme="minorHAnsi"/>
                <w:color w:val="000000"/>
                <w:sz w:val="18"/>
                <w:szCs w:val="18"/>
              </w:rPr>
              <w:t>gaz sieciowy</w:t>
            </w:r>
          </w:p>
        </w:tc>
        <w:tc>
          <w:tcPr>
            <w:tcW w:w="831" w:type="dxa"/>
            <w:noWrap/>
            <w:hideMark/>
          </w:tcPr>
          <w:p w:rsidR="00C06E9C" w:rsidRPr="0022433C" w:rsidRDefault="00C06E9C" w:rsidP="004818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2433C">
              <w:rPr>
                <w:rFonts w:asciiTheme="minorHAnsi" w:hAnsiTheme="minorHAnsi"/>
                <w:sz w:val="18"/>
                <w:szCs w:val="18"/>
              </w:rPr>
              <w:t>59,92</w:t>
            </w:r>
          </w:p>
        </w:tc>
        <w:tc>
          <w:tcPr>
            <w:tcW w:w="832" w:type="dxa"/>
            <w:noWrap/>
            <w:hideMark/>
          </w:tcPr>
          <w:p w:rsidR="00C06E9C" w:rsidRPr="0022433C" w:rsidRDefault="00C06E9C" w:rsidP="004818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22433C">
              <w:rPr>
                <w:rFonts w:asciiTheme="minorHAnsi" w:hAnsiTheme="minorHAnsi"/>
                <w:sz w:val="18"/>
                <w:szCs w:val="18"/>
              </w:rPr>
              <w:t>59,92</w:t>
            </w:r>
          </w:p>
        </w:tc>
        <w:tc>
          <w:tcPr>
            <w:tcW w:w="831" w:type="dxa"/>
            <w:noWrap/>
            <w:hideMark/>
          </w:tcPr>
          <w:p w:rsidR="00C06E9C" w:rsidRPr="0022433C" w:rsidRDefault="00C06E9C" w:rsidP="004818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60,55</w:t>
            </w:r>
          </w:p>
        </w:tc>
        <w:tc>
          <w:tcPr>
            <w:tcW w:w="832" w:type="dxa"/>
            <w:noWrap/>
            <w:hideMark/>
          </w:tcPr>
          <w:p w:rsidR="00C06E9C" w:rsidRPr="0022433C" w:rsidRDefault="00C06E9C" w:rsidP="004818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60,64</w:t>
            </w:r>
          </w:p>
        </w:tc>
        <w:tc>
          <w:tcPr>
            <w:tcW w:w="832" w:type="dxa"/>
            <w:noWrap/>
            <w:hideMark/>
          </w:tcPr>
          <w:p w:rsidR="00C06E9C" w:rsidRPr="0022433C" w:rsidRDefault="00C06E9C" w:rsidP="004818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60,19</w:t>
            </w:r>
          </w:p>
        </w:tc>
        <w:tc>
          <w:tcPr>
            <w:tcW w:w="831" w:type="dxa"/>
            <w:noWrap/>
            <w:hideMark/>
          </w:tcPr>
          <w:p w:rsidR="00C06E9C" w:rsidRPr="0022433C" w:rsidRDefault="00C06E9C" w:rsidP="004818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59,97</w:t>
            </w:r>
          </w:p>
        </w:tc>
        <w:tc>
          <w:tcPr>
            <w:tcW w:w="832" w:type="dxa"/>
          </w:tcPr>
          <w:p w:rsidR="00C06E9C" w:rsidRPr="0022433C" w:rsidRDefault="00C06E9C" w:rsidP="004818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59,82</w:t>
            </w:r>
          </w:p>
        </w:tc>
        <w:tc>
          <w:tcPr>
            <w:tcW w:w="832" w:type="dxa"/>
          </w:tcPr>
          <w:p w:rsidR="00C06E9C" w:rsidRPr="0022433C" w:rsidRDefault="00C06E9C" w:rsidP="004818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59,30</w:t>
            </w:r>
          </w:p>
        </w:tc>
      </w:tr>
    </w:tbl>
    <w:p w:rsidR="00C06E9C" w:rsidRPr="00FB4E3B" w:rsidRDefault="00C06E9C" w:rsidP="00C06E9C">
      <w:pPr>
        <w:pStyle w:val="Legenda"/>
        <w:spacing w:line="276" w:lineRule="auto"/>
      </w:pPr>
      <w:r w:rsidRPr="00FB4E3B">
        <w:t>Źródło: Bank Danych Lokalnych GUS</w:t>
      </w:r>
    </w:p>
    <w:p w:rsidR="00C06E9C" w:rsidRDefault="00C06E9C" w:rsidP="00C06E9C">
      <w:pPr>
        <w:spacing w:before="240"/>
        <w:ind w:firstLine="851"/>
        <w:jc w:val="both"/>
        <w:rPr>
          <w:color w:val="000000"/>
        </w:rPr>
      </w:pPr>
      <w:r w:rsidRPr="00906A54">
        <w:rPr>
          <w:color w:val="000000"/>
        </w:rPr>
        <w:t xml:space="preserve">Stan sieci gazowej </w:t>
      </w:r>
      <w:r>
        <w:rPr>
          <w:color w:val="000000"/>
        </w:rPr>
        <w:t xml:space="preserve">w Gminie Tryńcza pokazuje poniższa tabela. Według stanu </w:t>
      </w:r>
      <w:r>
        <w:rPr>
          <w:color w:val="000000"/>
        </w:rPr>
        <w:br/>
        <w:t>na koniec roku 2014 długość sieci gazowej w gminie wynosiła ponad 89 km, długość przyłączy gazowych ponad 41 km, zaś ich liczba wynosiła 1.764. Odbiorcami gazu z sieci było 1.478 gospodarstw.</w:t>
      </w:r>
    </w:p>
    <w:p w:rsidR="00C06E9C" w:rsidRDefault="00C06E9C" w:rsidP="00C06E9C">
      <w:pPr>
        <w:pStyle w:val="Legenda"/>
        <w:spacing w:before="100" w:beforeAutospacing="1"/>
      </w:pPr>
      <w:bookmarkStart w:id="62" w:name="_Toc450829971"/>
      <w:bookmarkStart w:id="63" w:name="_Toc495887801"/>
      <w:bookmarkStart w:id="64" w:name="_Toc437595896"/>
      <w:r>
        <w:t xml:space="preserve">Tabela </w:t>
      </w:r>
      <w:r w:rsidR="00172343">
        <w:fldChar w:fldCharType="begin"/>
      </w:r>
      <w:r w:rsidR="00172343">
        <w:instrText xml:space="preserve"> SEQ Tabela \* ARABIC </w:instrText>
      </w:r>
      <w:r w:rsidR="00172343">
        <w:fldChar w:fldCharType="separate"/>
      </w:r>
      <w:r w:rsidR="00D67FEC">
        <w:rPr>
          <w:noProof/>
        </w:rPr>
        <w:t>12</w:t>
      </w:r>
      <w:r w:rsidR="00172343">
        <w:rPr>
          <w:noProof/>
        </w:rPr>
        <w:fldChar w:fldCharType="end"/>
      </w:r>
      <w:r>
        <w:t xml:space="preserve">: </w:t>
      </w:r>
      <w:r w:rsidRPr="001C1B63">
        <w:t>Stan sieci gazowej na terenie Gminy Tryńcza. Stan na 30.12.2014</w:t>
      </w:r>
      <w:bookmarkEnd w:id="62"/>
      <w:bookmarkEnd w:id="63"/>
      <w:r>
        <w:t xml:space="preserve"> </w:t>
      </w:r>
      <w:bookmarkEnd w:id="64"/>
    </w:p>
    <w:tbl>
      <w:tblPr>
        <w:tblStyle w:val="Tabelasiatki5ciemnaakcent32"/>
        <w:tblW w:w="0" w:type="auto"/>
        <w:tblLook w:val="04A0" w:firstRow="1" w:lastRow="0" w:firstColumn="1" w:lastColumn="0" w:noHBand="0" w:noVBand="1"/>
      </w:tblPr>
      <w:tblGrid>
        <w:gridCol w:w="799"/>
        <w:gridCol w:w="1940"/>
        <w:gridCol w:w="1782"/>
        <w:gridCol w:w="1398"/>
        <w:gridCol w:w="1556"/>
        <w:gridCol w:w="1585"/>
      </w:tblGrid>
      <w:tr w:rsidR="00C06E9C" w:rsidRPr="001957AA" w:rsidTr="00195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dxa"/>
          </w:tcPr>
          <w:p w:rsidR="00C06E9C" w:rsidRPr="001957AA" w:rsidRDefault="00C06E9C" w:rsidP="00481877">
            <w:pPr>
              <w:pStyle w:val="Bezodstpw"/>
              <w:rPr>
                <w:rFonts w:asciiTheme="minorHAnsi" w:hAnsiTheme="minorHAnsi" w:cstheme="minorHAnsi"/>
              </w:rPr>
            </w:pPr>
            <w:r w:rsidRPr="001957AA">
              <w:rPr>
                <w:rFonts w:asciiTheme="minorHAnsi" w:hAnsiTheme="minorHAnsi" w:cstheme="minorHAnsi"/>
              </w:rPr>
              <w:t>L.p.</w:t>
            </w:r>
          </w:p>
        </w:tc>
        <w:tc>
          <w:tcPr>
            <w:tcW w:w="1940" w:type="dxa"/>
          </w:tcPr>
          <w:p w:rsidR="00C06E9C" w:rsidRPr="001957AA" w:rsidRDefault="00C06E9C" w:rsidP="00481877">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Miejscowość</w:t>
            </w:r>
          </w:p>
        </w:tc>
        <w:tc>
          <w:tcPr>
            <w:tcW w:w="1782" w:type="dxa"/>
          </w:tcPr>
          <w:p w:rsidR="00C06E9C" w:rsidRPr="001957AA" w:rsidRDefault="00C06E9C" w:rsidP="00481877">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Długość przyłączy</w:t>
            </w:r>
            <w:r w:rsidRPr="001957AA">
              <w:rPr>
                <w:rFonts w:asciiTheme="minorHAnsi" w:hAnsiTheme="minorHAnsi" w:cstheme="minorHAnsi"/>
              </w:rPr>
              <w:br/>
              <w:t>(m)</w:t>
            </w:r>
          </w:p>
        </w:tc>
        <w:tc>
          <w:tcPr>
            <w:tcW w:w="1398" w:type="dxa"/>
          </w:tcPr>
          <w:p w:rsidR="00C06E9C" w:rsidRPr="001957AA" w:rsidRDefault="00C06E9C" w:rsidP="00481877">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 xml:space="preserve">Ilość przyłączy </w:t>
            </w:r>
          </w:p>
        </w:tc>
        <w:tc>
          <w:tcPr>
            <w:tcW w:w="1556" w:type="dxa"/>
          </w:tcPr>
          <w:p w:rsidR="00C06E9C" w:rsidRPr="001957AA" w:rsidRDefault="00C06E9C" w:rsidP="00481877">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Długość sieci</w:t>
            </w:r>
          </w:p>
          <w:p w:rsidR="00C06E9C" w:rsidRPr="001957AA" w:rsidRDefault="00C06E9C" w:rsidP="00481877">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(m)</w:t>
            </w:r>
          </w:p>
        </w:tc>
        <w:tc>
          <w:tcPr>
            <w:tcW w:w="1585" w:type="dxa"/>
          </w:tcPr>
          <w:p w:rsidR="00C06E9C" w:rsidRPr="001957AA" w:rsidRDefault="00C06E9C" w:rsidP="00481877">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Liczba odbiorców</w:t>
            </w:r>
          </w:p>
        </w:tc>
      </w:tr>
      <w:tr w:rsidR="00C06E9C" w:rsidRPr="001957AA"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dxa"/>
          </w:tcPr>
          <w:p w:rsidR="00C06E9C" w:rsidRPr="001957AA" w:rsidRDefault="00C06E9C" w:rsidP="00481877">
            <w:pPr>
              <w:pStyle w:val="Bezodstpw"/>
              <w:rPr>
                <w:rFonts w:asciiTheme="minorHAnsi" w:hAnsiTheme="minorHAnsi" w:cstheme="minorHAnsi"/>
              </w:rPr>
            </w:pPr>
          </w:p>
        </w:tc>
        <w:tc>
          <w:tcPr>
            <w:tcW w:w="1940"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Głogowiec</w:t>
            </w:r>
          </w:p>
        </w:tc>
        <w:tc>
          <w:tcPr>
            <w:tcW w:w="1782"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 xml:space="preserve">1 930 </w:t>
            </w:r>
          </w:p>
        </w:tc>
        <w:tc>
          <w:tcPr>
            <w:tcW w:w="1398"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73</w:t>
            </w:r>
          </w:p>
        </w:tc>
        <w:tc>
          <w:tcPr>
            <w:tcW w:w="1556"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4 553</w:t>
            </w:r>
          </w:p>
        </w:tc>
        <w:tc>
          <w:tcPr>
            <w:tcW w:w="1585"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55</w:t>
            </w:r>
          </w:p>
        </w:tc>
      </w:tr>
      <w:tr w:rsidR="00C06E9C" w:rsidRPr="001957AA" w:rsidTr="001957AA">
        <w:tc>
          <w:tcPr>
            <w:cnfStyle w:val="001000000000" w:firstRow="0" w:lastRow="0" w:firstColumn="1" w:lastColumn="0" w:oddVBand="0" w:evenVBand="0" w:oddHBand="0" w:evenHBand="0" w:firstRowFirstColumn="0" w:firstRowLastColumn="0" w:lastRowFirstColumn="0" w:lastRowLastColumn="0"/>
            <w:tcW w:w="799" w:type="dxa"/>
          </w:tcPr>
          <w:p w:rsidR="00C06E9C" w:rsidRPr="001957AA" w:rsidRDefault="00C06E9C" w:rsidP="00481877">
            <w:pPr>
              <w:pStyle w:val="Bezodstpw"/>
              <w:rPr>
                <w:rFonts w:asciiTheme="minorHAnsi" w:hAnsiTheme="minorHAnsi" w:cstheme="minorHAnsi"/>
              </w:rPr>
            </w:pPr>
          </w:p>
        </w:tc>
        <w:tc>
          <w:tcPr>
            <w:tcW w:w="1940"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Gniewczyna Łańcucka</w:t>
            </w:r>
          </w:p>
        </w:tc>
        <w:tc>
          <w:tcPr>
            <w:tcW w:w="1782" w:type="dxa"/>
            <w:vMerge w:val="restart"/>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12 913</w:t>
            </w:r>
          </w:p>
        </w:tc>
        <w:tc>
          <w:tcPr>
            <w:tcW w:w="1398"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435</w:t>
            </w:r>
          </w:p>
        </w:tc>
        <w:tc>
          <w:tcPr>
            <w:tcW w:w="1556" w:type="dxa"/>
            <w:vMerge w:val="restart"/>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22 377</w:t>
            </w:r>
          </w:p>
        </w:tc>
        <w:tc>
          <w:tcPr>
            <w:tcW w:w="1585"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377</w:t>
            </w:r>
          </w:p>
        </w:tc>
      </w:tr>
      <w:tr w:rsidR="00C06E9C" w:rsidRPr="001957AA"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dxa"/>
          </w:tcPr>
          <w:p w:rsidR="00C06E9C" w:rsidRPr="001957AA" w:rsidRDefault="00C06E9C" w:rsidP="00481877">
            <w:pPr>
              <w:pStyle w:val="Bezodstpw"/>
              <w:rPr>
                <w:rFonts w:asciiTheme="minorHAnsi" w:hAnsiTheme="minorHAnsi" w:cstheme="minorHAnsi"/>
              </w:rPr>
            </w:pPr>
          </w:p>
        </w:tc>
        <w:tc>
          <w:tcPr>
            <w:tcW w:w="1940"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Gniewczyna Tryniecka</w:t>
            </w:r>
          </w:p>
        </w:tc>
        <w:tc>
          <w:tcPr>
            <w:tcW w:w="1782" w:type="dxa"/>
            <w:vMerge/>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398"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174</w:t>
            </w:r>
          </w:p>
        </w:tc>
        <w:tc>
          <w:tcPr>
            <w:tcW w:w="1556" w:type="dxa"/>
            <w:vMerge/>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85"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148</w:t>
            </w:r>
          </w:p>
        </w:tc>
      </w:tr>
      <w:tr w:rsidR="00C06E9C" w:rsidRPr="001957AA" w:rsidTr="001957AA">
        <w:tc>
          <w:tcPr>
            <w:cnfStyle w:val="001000000000" w:firstRow="0" w:lastRow="0" w:firstColumn="1" w:lastColumn="0" w:oddVBand="0" w:evenVBand="0" w:oddHBand="0" w:evenHBand="0" w:firstRowFirstColumn="0" w:firstRowLastColumn="0" w:lastRowFirstColumn="0" w:lastRowLastColumn="0"/>
            <w:tcW w:w="799" w:type="dxa"/>
          </w:tcPr>
          <w:p w:rsidR="00C06E9C" w:rsidRPr="001957AA" w:rsidRDefault="00C06E9C" w:rsidP="00481877">
            <w:pPr>
              <w:pStyle w:val="Bezodstpw"/>
              <w:rPr>
                <w:rFonts w:asciiTheme="minorHAnsi" w:hAnsiTheme="minorHAnsi" w:cstheme="minorHAnsi"/>
              </w:rPr>
            </w:pPr>
          </w:p>
        </w:tc>
        <w:tc>
          <w:tcPr>
            <w:tcW w:w="1940"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Gorzyce</w:t>
            </w:r>
          </w:p>
        </w:tc>
        <w:tc>
          <w:tcPr>
            <w:tcW w:w="1782"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5 012</w:t>
            </w:r>
          </w:p>
        </w:tc>
        <w:tc>
          <w:tcPr>
            <w:tcW w:w="1398"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246</w:t>
            </w:r>
          </w:p>
        </w:tc>
        <w:tc>
          <w:tcPr>
            <w:tcW w:w="1556"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12 871</w:t>
            </w:r>
          </w:p>
        </w:tc>
        <w:tc>
          <w:tcPr>
            <w:tcW w:w="1585"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215</w:t>
            </w:r>
          </w:p>
        </w:tc>
      </w:tr>
      <w:tr w:rsidR="00C06E9C" w:rsidRPr="001957AA"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dxa"/>
          </w:tcPr>
          <w:p w:rsidR="00C06E9C" w:rsidRPr="001957AA" w:rsidRDefault="00C06E9C" w:rsidP="00481877">
            <w:pPr>
              <w:pStyle w:val="Bezodstpw"/>
              <w:rPr>
                <w:rFonts w:asciiTheme="minorHAnsi" w:hAnsiTheme="minorHAnsi" w:cstheme="minorHAnsi"/>
              </w:rPr>
            </w:pPr>
          </w:p>
        </w:tc>
        <w:tc>
          <w:tcPr>
            <w:tcW w:w="1940"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Jagiełła</w:t>
            </w:r>
          </w:p>
        </w:tc>
        <w:tc>
          <w:tcPr>
            <w:tcW w:w="1782"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4 227</w:t>
            </w:r>
          </w:p>
        </w:tc>
        <w:tc>
          <w:tcPr>
            <w:tcW w:w="1398"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230</w:t>
            </w:r>
          </w:p>
        </w:tc>
        <w:tc>
          <w:tcPr>
            <w:tcW w:w="1556"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14 210</w:t>
            </w:r>
          </w:p>
        </w:tc>
        <w:tc>
          <w:tcPr>
            <w:tcW w:w="1585"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223</w:t>
            </w:r>
          </w:p>
        </w:tc>
      </w:tr>
      <w:tr w:rsidR="00C06E9C" w:rsidRPr="001957AA" w:rsidTr="001957AA">
        <w:tc>
          <w:tcPr>
            <w:cnfStyle w:val="001000000000" w:firstRow="0" w:lastRow="0" w:firstColumn="1" w:lastColumn="0" w:oddVBand="0" w:evenVBand="0" w:oddHBand="0" w:evenHBand="0" w:firstRowFirstColumn="0" w:firstRowLastColumn="0" w:lastRowFirstColumn="0" w:lastRowLastColumn="0"/>
            <w:tcW w:w="799" w:type="dxa"/>
          </w:tcPr>
          <w:p w:rsidR="00C06E9C" w:rsidRPr="001957AA" w:rsidRDefault="00C06E9C" w:rsidP="00481877">
            <w:pPr>
              <w:pStyle w:val="Bezodstpw"/>
              <w:rPr>
                <w:rFonts w:asciiTheme="minorHAnsi" w:hAnsiTheme="minorHAnsi" w:cstheme="minorHAnsi"/>
              </w:rPr>
            </w:pPr>
          </w:p>
        </w:tc>
        <w:tc>
          <w:tcPr>
            <w:tcW w:w="1940"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Tryńcza</w:t>
            </w:r>
          </w:p>
        </w:tc>
        <w:tc>
          <w:tcPr>
            <w:tcW w:w="1782"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7 043</w:t>
            </w:r>
          </w:p>
        </w:tc>
        <w:tc>
          <w:tcPr>
            <w:tcW w:w="1398"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336</w:t>
            </w:r>
          </w:p>
        </w:tc>
        <w:tc>
          <w:tcPr>
            <w:tcW w:w="1556"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18 249</w:t>
            </w:r>
          </w:p>
        </w:tc>
        <w:tc>
          <w:tcPr>
            <w:tcW w:w="1585"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255</w:t>
            </w:r>
          </w:p>
        </w:tc>
      </w:tr>
      <w:tr w:rsidR="00C06E9C" w:rsidRPr="001957AA"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dxa"/>
          </w:tcPr>
          <w:p w:rsidR="00C06E9C" w:rsidRPr="001957AA" w:rsidRDefault="00C06E9C" w:rsidP="00481877">
            <w:pPr>
              <w:pStyle w:val="Bezodstpw"/>
              <w:rPr>
                <w:rFonts w:asciiTheme="minorHAnsi" w:hAnsiTheme="minorHAnsi" w:cstheme="minorHAnsi"/>
              </w:rPr>
            </w:pPr>
          </w:p>
        </w:tc>
        <w:tc>
          <w:tcPr>
            <w:tcW w:w="1940"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Ubieszyn</w:t>
            </w:r>
          </w:p>
        </w:tc>
        <w:tc>
          <w:tcPr>
            <w:tcW w:w="1782"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3 569</w:t>
            </w:r>
          </w:p>
        </w:tc>
        <w:tc>
          <w:tcPr>
            <w:tcW w:w="1398"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142</w:t>
            </w:r>
          </w:p>
        </w:tc>
        <w:tc>
          <w:tcPr>
            <w:tcW w:w="1556"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8 876</w:t>
            </w:r>
          </w:p>
        </w:tc>
        <w:tc>
          <w:tcPr>
            <w:tcW w:w="1585"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118</w:t>
            </w:r>
          </w:p>
        </w:tc>
      </w:tr>
      <w:tr w:rsidR="00C06E9C" w:rsidRPr="001957AA" w:rsidTr="001957AA">
        <w:tc>
          <w:tcPr>
            <w:cnfStyle w:val="001000000000" w:firstRow="0" w:lastRow="0" w:firstColumn="1" w:lastColumn="0" w:oddVBand="0" w:evenVBand="0" w:oddHBand="0" w:evenHBand="0" w:firstRowFirstColumn="0" w:firstRowLastColumn="0" w:lastRowFirstColumn="0" w:lastRowLastColumn="0"/>
            <w:tcW w:w="799" w:type="dxa"/>
          </w:tcPr>
          <w:p w:rsidR="00C06E9C" w:rsidRPr="001957AA" w:rsidRDefault="00C06E9C" w:rsidP="00481877">
            <w:pPr>
              <w:pStyle w:val="Bezodstpw"/>
              <w:rPr>
                <w:rFonts w:asciiTheme="minorHAnsi" w:hAnsiTheme="minorHAnsi" w:cstheme="minorHAnsi"/>
              </w:rPr>
            </w:pPr>
          </w:p>
        </w:tc>
        <w:tc>
          <w:tcPr>
            <w:tcW w:w="1940"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Wólka Małkowa</w:t>
            </w:r>
          </w:p>
        </w:tc>
        <w:tc>
          <w:tcPr>
            <w:tcW w:w="1782"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1 500</w:t>
            </w:r>
          </w:p>
        </w:tc>
        <w:tc>
          <w:tcPr>
            <w:tcW w:w="1398"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69</w:t>
            </w:r>
          </w:p>
        </w:tc>
        <w:tc>
          <w:tcPr>
            <w:tcW w:w="1556"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4 073</w:t>
            </w:r>
          </w:p>
        </w:tc>
        <w:tc>
          <w:tcPr>
            <w:tcW w:w="1585"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47</w:t>
            </w:r>
          </w:p>
        </w:tc>
      </w:tr>
      <w:tr w:rsidR="00C06E9C" w:rsidRPr="001957AA" w:rsidTr="0019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 w:type="dxa"/>
          </w:tcPr>
          <w:p w:rsidR="00C06E9C" w:rsidRPr="001957AA" w:rsidRDefault="00C06E9C" w:rsidP="00481877">
            <w:pPr>
              <w:pStyle w:val="Bezodstpw"/>
              <w:rPr>
                <w:rFonts w:asciiTheme="minorHAnsi" w:hAnsiTheme="minorHAnsi" w:cstheme="minorHAnsi"/>
              </w:rPr>
            </w:pPr>
          </w:p>
        </w:tc>
        <w:tc>
          <w:tcPr>
            <w:tcW w:w="1940"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Wólka Ogryzkowa</w:t>
            </w:r>
          </w:p>
        </w:tc>
        <w:tc>
          <w:tcPr>
            <w:tcW w:w="1782"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4 831</w:t>
            </w:r>
          </w:p>
        </w:tc>
        <w:tc>
          <w:tcPr>
            <w:tcW w:w="1398"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59</w:t>
            </w:r>
          </w:p>
        </w:tc>
        <w:tc>
          <w:tcPr>
            <w:tcW w:w="1556"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3 977</w:t>
            </w:r>
          </w:p>
        </w:tc>
        <w:tc>
          <w:tcPr>
            <w:tcW w:w="1585" w:type="dxa"/>
          </w:tcPr>
          <w:p w:rsidR="00C06E9C" w:rsidRPr="001957AA" w:rsidRDefault="00C06E9C"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40</w:t>
            </w:r>
          </w:p>
        </w:tc>
      </w:tr>
      <w:tr w:rsidR="00C06E9C" w:rsidRPr="001957AA" w:rsidTr="001957AA">
        <w:trPr>
          <w:trHeight w:val="235"/>
        </w:trPr>
        <w:tc>
          <w:tcPr>
            <w:cnfStyle w:val="001000000000" w:firstRow="0" w:lastRow="0" w:firstColumn="1" w:lastColumn="0" w:oddVBand="0" w:evenVBand="0" w:oddHBand="0" w:evenHBand="0" w:firstRowFirstColumn="0" w:firstRowLastColumn="0" w:lastRowFirstColumn="0" w:lastRowLastColumn="0"/>
            <w:tcW w:w="799" w:type="dxa"/>
          </w:tcPr>
          <w:p w:rsidR="00C06E9C" w:rsidRPr="001957AA" w:rsidRDefault="00C06E9C" w:rsidP="00481877">
            <w:pPr>
              <w:pStyle w:val="Bezodstpw"/>
              <w:rPr>
                <w:rFonts w:asciiTheme="minorHAnsi" w:hAnsiTheme="minorHAnsi" w:cstheme="minorHAnsi"/>
              </w:rPr>
            </w:pPr>
          </w:p>
        </w:tc>
        <w:tc>
          <w:tcPr>
            <w:tcW w:w="1940"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Razem:</w:t>
            </w:r>
          </w:p>
        </w:tc>
        <w:tc>
          <w:tcPr>
            <w:tcW w:w="1782"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41 025</w:t>
            </w:r>
          </w:p>
        </w:tc>
        <w:tc>
          <w:tcPr>
            <w:tcW w:w="1398"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1764</w:t>
            </w:r>
          </w:p>
        </w:tc>
        <w:tc>
          <w:tcPr>
            <w:tcW w:w="1556"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89 186</w:t>
            </w:r>
          </w:p>
        </w:tc>
        <w:tc>
          <w:tcPr>
            <w:tcW w:w="1585" w:type="dxa"/>
          </w:tcPr>
          <w:p w:rsidR="00C06E9C" w:rsidRPr="001957AA" w:rsidRDefault="00C06E9C"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957AA">
              <w:rPr>
                <w:rFonts w:asciiTheme="minorHAnsi" w:hAnsiTheme="minorHAnsi" w:cstheme="minorHAnsi"/>
              </w:rPr>
              <w:t>1 478</w:t>
            </w:r>
          </w:p>
        </w:tc>
      </w:tr>
    </w:tbl>
    <w:p w:rsidR="00C06E9C" w:rsidRDefault="00C06E9C" w:rsidP="00C06E9C">
      <w:pPr>
        <w:pStyle w:val="Legenda"/>
        <w:rPr>
          <w:rFonts w:eastAsia="Constantia"/>
        </w:rPr>
      </w:pPr>
      <w:r>
        <w:rPr>
          <w:rFonts w:eastAsia="Constantia"/>
        </w:rPr>
        <w:t xml:space="preserve">Źródło: Strategia Rozwoju Gminy Tryńcza </w:t>
      </w:r>
    </w:p>
    <w:p w:rsidR="00C06E9C" w:rsidRDefault="00C06E9C" w:rsidP="00301D51">
      <w:pPr>
        <w:pStyle w:val="Bezodstpw"/>
        <w:spacing w:line="276" w:lineRule="auto"/>
        <w:jc w:val="both"/>
      </w:pPr>
    </w:p>
    <w:p w:rsidR="007008B8" w:rsidRDefault="00301D51" w:rsidP="00E058A3">
      <w:pPr>
        <w:pStyle w:val="Nagwek2"/>
      </w:pPr>
      <w:bookmarkStart w:id="65" w:name="_Toc496558071"/>
      <w:r>
        <w:t>Środowisko i z</w:t>
      </w:r>
      <w:r w:rsidR="00E058A3">
        <w:t>asoby przyrodnicze</w:t>
      </w:r>
      <w:bookmarkEnd w:id="65"/>
    </w:p>
    <w:p w:rsidR="007008B8" w:rsidRDefault="007008B8" w:rsidP="00530737"/>
    <w:p w:rsidR="00E058A3" w:rsidRDefault="00E058A3" w:rsidP="00E058A3">
      <w:pPr>
        <w:ind w:firstLine="708"/>
        <w:jc w:val="both"/>
      </w:pPr>
      <w:r>
        <w:t>Gmina Tryńcza leży w typowej dla większość obszaru Polski strefie klimatu umiarkowanego, przejściowego. Średnie temperatury roczne wynoszą w okresie od kwietnia do września około 15</w:t>
      </w:r>
      <w:r w:rsidRPr="00883893">
        <w:rPr>
          <w:vertAlign w:val="superscript"/>
        </w:rPr>
        <w:t>o</w:t>
      </w:r>
      <w:r w:rsidR="00883893">
        <w:t xml:space="preserve"> C i </w:t>
      </w:r>
      <w:r>
        <w:t>są nieznacznie wyższe od średnich temperatur odnotowywanych w tym regionie. Średnia roczna suma opadów kształtuje się na poziomie  432 mm.</w:t>
      </w:r>
    </w:p>
    <w:p w:rsidR="00E058A3" w:rsidRDefault="00E058A3" w:rsidP="00E058A3">
      <w:pPr>
        <w:ind w:firstLine="708"/>
        <w:jc w:val="both"/>
      </w:pPr>
      <w:r>
        <w:t xml:space="preserve">Korzystne warunki klimatu lokalnego występują na terenach nadzalewowych, gdzie wody zalegają głęboko. Są to tereny korzystne dla lokalizacji zabudowy </w:t>
      </w:r>
      <w:r w:rsidR="00883893">
        <w:t>przeznaczonej na pobyt ludzi, z </w:t>
      </w:r>
      <w:r>
        <w:t>uwagi na ich przeciętne nasłonecznienie oraz dobre przewietrzanie.</w:t>
      </w:r>
    </w:p>
    <w:p w:rsidR="00E058A3" w:rsidRDefault="00E058A3" w:rsidP="00E058A3">
      <w:pPr>
        <w:ind w:firstLine="708"/>
        <w:jc w:val="both"/>
      </w:pPr>
      <w:r>
        <w:t>Niekorzystne warunki dla osadnictwa oraz sadownictwa występują natomiast w obrębie terenów zalewowych i lokalnych obniżeń terenowych oraz na obszarach podmokłych. Tereny terenów zalewowych, pomimo dobrego nasłonecznienia narażone są na napływ i stagnację zimnych, wilgotnych mas powietrza. W obszarach lokalnych obniżeń terenowych występuje natomiast zjawisko zastoisk zimna.</w:t>
      </w:r>
    </w:p>
    <w:p w:rsidR="00883893" w:rsidRDefault="00883893" w:rsidP="00883893">
      <w:pPr>
        <w:jc w:val="both"/>
      </w:pPr>
      <w:r>
        <w:tab/>
        <w:t>Przez teren Gminy Tryńcza przepływają rzeki: San (ok. 10 km), Wisłok (ok. 18 km) oraz Mleczka (ok. 2,5 km). Wszystkie rzeki w swoim dolnym biegu łączą się w jeden ciek wodny. Rzeka Mleczka w miejscowości Gniewczyna Tryniecka wpada do Wisłoka, natomiast Wisłok wpada do Sanu poza terenem Gminy na północ od miejscowości Głogowiec. Ponadto przez obszar Gminy przepływają 3 potoki: Przykopa, Strzyganka oraz Leszczynka. Przepływające przez teren Gminy rzeki i potoki mają charakter dolinny. Brzegi rzek są wysokie, koryta głębokie i piaszczyste.</w:t>
      </w:r>
    </w:p>
    <w:p w:rsidR="00883893" w:rsidRDefault="00883893" w:rsidP="00883893">
      <w:pPr>
        <w:ind w:firstLine="708"/>
        <w:jc w:val="both"/>
      </w:pPr>
      <w:r>
        <w:t xml:space="preserve">Z występowaniem wód powierzchniowych związane są zagrożenia powodziowe. Wysokie stany wód rzecznych występujące głównie w okresie wiosennym i letnim spowodowane są głównie wiosennymi roztopami i intensywnymi opadami letnim. W okresie wysokich opadów rzeki występują z koryt i zalewają okoliczne doliny. Największemu zagrożeniu podlegają obszary przyległe do rzek miejscowości takich jak Głogowiec, Gorzyce, Ubieszyn, Gniewczyna Łańcucka Gniewczyna Tryniecka, Tryńcza i Wólka Małkowa. </w:t>
      </w:r>
    </w:p>
    <w:p w:rsidR="007008B8" w:rsidRDefault="00883893" w:rsidP="00883893">
      <w:pPr>
        <w:ind w:firstLine="708"/>
        <w:jc w:val="both"/>
      </w:pPr>
      <w:r>
        <w:t>Przeprowadzone w rejonie położonym na północ od wsi Jagiełła badania hydrologiczne na powierzchni około 300 ha wykazały, że zalegają tam zasoby wód podziemnych w ilościach mogących zaspokoić potrzeby Gminy Tryńcza. W systemie zarządzania gospodarką wodną, teren Gminy należy do Regionalnego Zarządu Gospodarki Wodnej w Krakowie. Występujące na terenie Gminy Tryńcza warunki wodne związane są z poziomem wód czwartorzędowych. Wody podziemne są podstawowym źródłem zaopatrzenia w wodę odbiorców, stanowią ponadto bazę dla ujęć komunalnych. Pod względem hydrograficznym teren Gminy należy do dorzecza Wisły i znajduje się w obrębie Głównego Zbiornika Wód Podziemnych nr 425 Dębica - Stalowa Wola - Rzeszów, którego wody są dobrej jakości i należą do I i II klasy. Nieustannym zagrożeniem dla jakości wód podziemnych w/w zbiornika jest odprowadzanie nieczyszczonych ścieków komunalnych i deszczowych do wód powierzchniowych oraz nieszczelnych szamb pełniących rolę osadników tylko dla części stałych.</w:t>
      </w:r>
    </w:p>
    <w:p w:rsidR="00883893" w:rsidRDefault="00883893" w:rsidP="00883893">
      <w:pPr>
        <w:ind w:firstLine="708"/>
        <w:jc w:val="both"/>
      </w:pPr>
      <w:r w:rsidRPr="00883893">
        <w:lastRenderedPageBreak/>
        <w:t>Charakterystyczną cechą krajobrazu Gminy i zarazem atrakcją turystyczną są tereny nadbrzeżne i szerokie koryta rzeki Wisłok i San. Brak naturalnych wyniesień terenowych nie ogranicza otwartych przestrzeni, a horyzont oznacza linia lasu. Tereny leśne tworzą zwarte kompleksy, graniczące z drogami i terenami upraw rolnych. Największe</w:t>
      </w:r>
      <w:r>
        <w:t xml:space="preserve"> kompleksy leśne znajdują się w </w:t>
      </w:r>
      <w:r w:rsidRPr="00883893">
        <w:t>środkowo-wschodniej części Gminy. Północna i środkowa częś</w:t>
      </w:r>
      <w:r>
        <w:t>ć obszaru Gminy jest położona w </w:t>
      </w:r>
      <w:r w:rsidRPr="00883893">
        <w:t>obrębie Sieniawskiego Obszaru Chronionego Krajobrazu. Środowisko przyrodnicze Gminy jest dobrze zachowane i niezwykle bogate pod względem świata fauny i flory. Bogate w rośliny bagienne jest stare koryto Wisłoka między miejscowościami Gniewczyna Tryniecka a Wólka Małkowa. Wydmy piaszczyste występujące w okolicy Jagiełły, Gorzyc, Wólki O</w:t>
      </w:r>
      <w:r>
        <w:t>gryzkowej i Małkowej, Tryńczy i </w:t>
      </w:r>
      <w:r w:rsidRPr="00883893">
        <w:t>Gniewczyny Trynieckiej porośnięte są lasami sosnowymi  i dębami. Nad brzegami rzek rosną głównie wierzby, olchy, osiki i topole.</w:t>
      </w:r>
    </w:p>
    <w:p w:rsidR="007008B8" w:rsidRDefault="00883893" w:rsidP="00883893">
      <w:pPr>
        <w:pStyle w:val="Legenda"/>
      </w:pPr>
      <w:bookmarkStart w:id="66" w:name="_Toc495887802"/>
      <w:r>
        <w:t xml:space="preserve">Tabela </w:t>
      </w:r>
      <w:r w:rsidR="00172343">
        <w:fldChar w:fldCharType="begin"/>
      </w:r>
      <w:r w:rsidR="00172343">
        <w:instrText xml:space="preserve"> SEQ Tabela \* ARABIC </w:instrText>
      </w:r>
      <w:r w:rsidR="00172343">
        <w:fldChar w:fldCharType="separate"/>
      </w:r>
      <w:r w:rsidR="00D67FEC">
        <w:rPr>
          <w:noProof/>
        </w:rPr>
        <w:t>13</w:t>
      </w:r>
      <w:r w:rsidR="00172343">
        <w:rPr>
          <w:noProof/>
        </w:rPr>
        <w:fldChar w:fldCharType="end"/>
      </w:r>
      <w:r>
        <w:t xml:space="preserve"> </w:t>
      </w:r>
      <w:r w:rsidRPr="00FB4E3B">
        <w:t>Powierzchnia gruntów leśnych</w:t>
      </w:r>
      <w:bookmarkEnd w:id="66"/>
    </w:p>
    <w:tbl>
      <w:tblPr>
        <w:tblStyle w:val="Tabelasiatki5ciemnaakcent32"/>
        <w:tblW w:w="8860" w:type="dxa"/>
        <w:tblLayout w:type="fixed"/>
        <w:tblLook w:val="04A0" w:firstRow="1" w:lastRow="0" w:firstColumn="1" w:lastColumn="0" w:noHBand="0" w:noVBand="1"/>
      </w:tblPr>
      <w:tblGrid>
        <w:gridCol w:w="1809"/>
        <w:gridCol w:w="479"/>
        <w:gridCol w:w="794"/>
        <w:gridCol w:w="795"/>
        <w:gridCol w:w="795"/>
        <w:gridCol w:w="795"/>
        <w:gridCol w:w="795"/>
        <w:gridCol w:w="795"/>
        <w:gridCol w:w="795"/>
        <w:gridCol w:w="1008"/>
      </w:tblGrid>
      <w:tr w:rsidR="00883893" w:rsidRPr="00481877" w:rsidTr="001957A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9" w:type="dxa"/>
            <w:noWrap/>
            <w:hideMark/>
          </w:tcPr>
          <w:p w:rsidR="00883893" w:rsidRPr="00481877" w:rsidRDefault="00883893" w:rsidP="00481877">
            <w:pPr>
              <w:pStyle w:val="Bezodstpw"/>
              <w:rPr>
                <w:rFonts w:asciiTheme="minorHAnsi" w:hAnsiTheme="minorHAnsi" w:cstheme="minorHAnsi"/>
              </w:rPr>
            </w:pPr>
          </w:p>
        </w:tc>
        <w:tc>
          <w:tcPr>
            <w:tcW w:w="479" w:type="dxa"/>
            <w:noWrap/>
            <w:hideMark/>
          </w:tcPr>
          <w:p w:rsidR="00883893" w:rsidRPr="00481877" w:rsidRDefault="00883893" w:rsidP="00481877">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tcW w:w="794" w:type="dxa"/>
            <w:noWrap/>
            <w:hideMark/>
          </w:tcPr>
          <w:p w:rsidR="00883893" w:rsidRPr="00481877" w:rsidRDefault="00883893" w:rsidP="00481877">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481877">
              <w:rPr>
                <w:rFonts w:asciiTheme="minorHAnsi" w:hAnsiTheme="minorHAnsi" w:cstheme="minorHAnsi"/>
                <w:b w:val="0"/>
                <w:bCs w:val="0"/>
                <w:color w:val="FFFFFF"/>
              </w:rPr>
              <w:t>2009</w:t>
            </w:r>
          </w:p>
        </w:tc>
        <w:tc>
          <w:tcPr>
            <w:tcW w:w="795" w:type="dxa"/>
            <w:noWrap/>
            <w:hideMark/>
          </w:tcPr>
          <w:p w:rsidR="00883893" w:rsidRPr="00481877" w:rsidRDefault="00883893" w:rsidP="00481877">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481877">
              <w:rPr>
                <w:rFonts w:asciiTheme="minorHAnsi" w:hAnsiTheme="minorHAnsi" w:cstheme="minorHAnsi"/>
                <w:b w:val="0"/>
                <w:bCs w:val="0"/>
                <w:color w:val="FFFFFF"/>
              </w:rPr>
              <w:t>2010</w:t>
            </w:r>
          </w:p>
        </w:tc>
        <w:tc>
          <w:tcPr>
            <w:tcW w:w="795" w:type="dxa"/>
            <w:noWrap/>
            <w:hideMark/>
          </w:tcPr>
          <w:p w:rsidR="00883893" w:rsidRPr="00481877" w:rsidRDefault="00883893" w:rsidP="00481877">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481877">
              <w:rPr>
                <w:rFonts w:asciiTheme="minorHAnsi" w:hAnsiTheme="minorHAnsi" w:cstheme="minorHAnsi"/>
                <w:b w:val="0"/>
                <w:bCs w:val="0"/>
                <w:color w:val="FFFFFF"/>
              </w:rPr>
              <w:t>2011</w:t>
            </w:r>
          </w:p>
        </w:tc>
        <w:tc>
          <w:tcPr>
            <w:tcW w:w="795" w:type="dxa"/>
            <w:noWrap/>
            <w:hideMark/>
          </w:tcPr>
          <w:p w:rsidR="00883893" w:rsidRPr="00481877" w:rsidRDefault="00883893" w:rsidP="00481877">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481877">
              <w:rPr>
                <w:rFonts w:asciiTheme="minorHAnsi" w:hAnsiTheme="minorHAnsi" w:cstheme="minorHAnsi"/>
                <w:b w:val="0"/>
                <w:bCs w:val="0"/>
                <w:color w:val="FFFFFF"/>
              </w:rPr>
              <w:t>2012</w:t>
            </w:r>
          </w:p>
        </w:tc>
        <w:tc>
          <w:tcPr>
            <w:tcW w:w="795" w:type="dxa"/>
            <w:noWrap/>
            <w:hideMark/>
          </w:tcPr>
          <w:p w:rsidR="00883893" w:rsidRPr="00481877" w:rsidRDefault="00883893" w:rsidP="00481877">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481877">
              <w:rPr>
                <w:rFonts w:asciiTheme="minorHAnsi" w:hAnsiTheme="minorHAnsi" w:cstheme="minorHAnsi"/>
                <w:b w:val="0"/>
                <w:bCs w:val="0"/>
                <w:color w:val="FFFFFF"/>
              </w:rPr>
              <w:t>2013</w:t>
            </w:r>
          </w:p>
        </w:tc>
        <w:tc>
          <w:tcPr>
            <w:tcW w:w="795" w:type="dxa"/>
          </w:tcPr>
          <w:p w:rsidR="00883893" w:rsidRPr="00481877" w:rsidRDefault="00883893" w:rsidP="00481877">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481877">
              <w:rPr>
                <w:rFonts w:asciiTheme="minorHAnsi" w:hAnsiTheme="minorHAnsi" w:cstheme="minorHAnsi"/>
                <w:b w:val="0"/>
                <w:bCs w:val="0"/>
                <w:color w:val="FFFFFF"/>
              </w:rPr>
              <w:t>2014</w:t>
            </w:r>
          </w:p>
        </w:tc>
        <w:tc>
          <w:tcPr>
            <w:tcW w:w="795" w:type="dxa"/>
          </w:tcPr>
          <w:p w:rsidR="00883893" w:rsidRPr="00481877" w:rsidRDefault="00883893" w:rsidP="00481877">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481877">
              <w:rPr>
                <w:rFonts w:asciiTheme="minorHAnsi" w:hAnsiTheme="minorHAnsi" w:cstheme="minorHAnsi"/>
                <w:b w:val="0"/>
                <w:bCs w:val="0"/>
                <w:color w:val="FFFFFF"/>
              </w:rPr>
              <w:t>2015</w:t>
            </w:r>
          </w:p>
        </w:tc>
        <w:tc>
          <w:tcPr>
            <w:tcW w:w="1008" w:type="dxa"/>
          </w:tcPr>
          <w:p w:rsidR="00883893" w:rsidRPr="00481877" w:rsidRDefault="00883893" w:rsidP="00481877">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rPr>
            </w:pPr>
            <w:r w:rsidRPr="00481877">
              <w:rPr>
                <w:rFonts w:asciiTheme="minorHAnsi" w:hAnsiTheme="minorHAnsi" w:cstheme="minorHAnsi"/>
                <w:b w:val="0"/>
                <w:bCs w:val="0"/>
                <w:color w:val="FFFFFF"/>
              </w:rPr>
              <w:t>2016</w:t>
            </w:r>
          </w:p>
        </w:tc>
      </w:tr>
      <w:tr w:rsidR="00883893" w:rsidRPr="00481877" w:rsidTr="001957AA">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809" w:type="dxa"/>
            <w:hideMark/>
          </w:tcPr>
          <w:p w:rsidR="00883893" w:rsidRPr="00481877" w:rsidRDefault="00883893" w:rsidP="00481877">
            <w:pPr>
              <w:pStyle w:val="Bezodstpw"/>
              <w:rPr>
                <w:rFonts w:asciiTheme="minorHAnsi" w:hAnsiTheme="minorHAnsi" w:cstheme="minorHAnsi"/>
              </w:rPr>
            </w:pPr>
            <w:r w:rsidRPr="00481877">
              <w:rPr>
                <w:rFonts w:asciiTheme="minorHAnsi" w:hAnsiTheme="minorHAnsi" w:cstheme="minorHAnsi"/>
              </w:rPr>
              <w:t>powierzchnia gruntów leśnych ogółem</w:t>
            </w:r>
          </w:p>
        </w:tc>
        <w:tc>
          <w:tcPr>
            <w:tcW w:w="479" w:type="dxa"/>
            <w:noWrap/>
            <w:hideMark/>
          </w:tcPr>
          <w:p w:rsidR="00883893" w:rsidRPr="00481877" w:rsidRDefault="00883893"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ha</w:t>
            </w:r>
          </w:p>
        </w:tc>
        <w:tc>
          <w:tcPr>
            <w:tcW w:w="794" w:type="dxa"/>
            <w:noWrap/>
          </w:tcPr>
          <w:p w:rsidR="00883893" w:rsidRPr="00481877" w:rsidRDefault="00883893"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1118,3</w:t>
            </w:r>
          </w:p>
        </w:tc>
        <w:tc>
          <w:tcPr>
            <w:tcW w:w="795" w:type="dxa"/>
            <w:noWrap/>
          </w:tcPr>
          <w:p w:rsidR="00883893" w:rsidRPr="00481877" w:rsidRDefault="00883893"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1133,4</w:t>
            </w:r>
          </w:p>
        </w:tc>
        <w:tc>
          <w:tcPr>
            <w:tcW w:w="795" w:type="dxa"/>
            <w:noWrap/>
          </w:tcPr>
          <w:p w:rsidR="00883893" w:rsidRPr="00481877" w:rsidRDefault="00883893"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1151,0</w:t>
            </w:r>
          </w:p>
        </w:tc>
        <w:tc>
          <w:tcPr>
            <w:tcW w:w="795" w:type="dxa"/>
            <w:noWrap/>
          </w:tcPr>
          <w:p w:rsidR="00883893" w:rsidRPr="00481877" w:rsidRDefault="00883893"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1163,1</w:t>
            </w:r>
          </w:p>
        </w:tc>
        <w:tc>
          <w:tcPr>
            <w:tcW w:w="795" w:type="dxa"/>
            <w:noWrap/>
          </w:tcPr>
          <w:p w:rsidR="00883893" w:rsidRPr="00481877" w:rsidRDefault="00883893"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1172,1</w:t>
            </w:r>
          </w:p>
        </w:tc>
        <w:tc>
          <w:tcPr>
            <w:tcW w:w="795" w:type="dxa"/>
          </w:tcPr>
          <w:p w:rsidR="00883893" w:rsidRPr="00481877" w:rsidRDefault="00883893"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1173,3</w:t>
            </w:r>
          </w:p>
        </w:tc>
        <w:tc>
          <w:tcPr>
            <w:tcW w:w="795" w:type="dxa"/>
          </w:tcPr>
          <w:p w:rsidR="00883893" w:rsidRPr="00481877" w:rsidRDefault="00883893"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1877">
              <w:rPr>
                <w:rFonts w:asciiTheme="minorHAnsi" w:hAnsiTheme="minorHAnsi" w:cstheme="minorHAnsi"/>
                <w:color w:val="000000"/>
              </w:rPr>
              <w:t>1179,9</w:t>
            </w:r>
          </w:p>
        </w:tc>
        <w:tc>
          <w:tcPr>
            <w:tcW w:w="1008" w:type="dxa"/>
          </w:tcPr>
          <w:p w:rsidR="00883893" w:rsidRPr="00481877" w:rsidRDefault="00883893"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1877">
              <w:rPr>
                <w:rFonts w:asciiTheme="minorHAnsi" w:hAnsiTheme="minorHAnsi" w:cstheme="minorHAnsi"/>
                <w:color w:val="000000"/>
              </w:rPr>
              <w:t>1191,7</w:t>
            </w:r>
          </w:p>
        </w:tc>
      </w:tr>
      <w:tr w:rsidR="00883893" w:rsidRPr="00481877" w:rsidTr="001957AA">
        <w:trPr>
          <w:trHeight w:val="549"/>
        </w:trPr>
        <w:tc>
          <w:tcPr>
            <w:cnfStyle w:val="001000000000" w:firstRow="0" w:lastRow="0" w:firstColumn="1" w:lastColumn="0" w:oddVBand="0" w:evenVBand="0" w:oddHBand="0" w:evenHBand="0" w:firstRowFirstColumn="0" w:firstRowLastColumn="0" w:lastRowFirstColumn="0" w:lastRowLastColumn="0"/>
            <w:tcW w:w="1809" w:type="dxa"/>
            <w:hideMark/>
          </w:tcPr>
          <w:p w:rsidR="00883893" w:rsidRPr="00481877" w:rsidRDefault="00883893" w:rsidP="00481877">
            <w:pPr>
              <w:pStyle w:val="Bezodstpw"/>
              <w:rPr>
                <w:rFonts w:asciiTheme="minorHAnsi" w:hAnsiTheme="minorHAnsi" w:cstheme="minorHAnsi"/>
              </w:rPr>
            </w:pPr>
            <w:r w:rsidRPr="00481877">
              <w:rPr>
                <w:rFonts w:asciiTheme="minorHAnsi" w:hAnsiTheme="minorHAnsi" w:cstheme="minorHAnsi"/>
              </w:rPr>
              <w:t>grunty leśne publiczne ogółem</w:t>
            </w:r>
          </w:p>
        </w:tc>
        <w:tc>
          <w:tcPr>
            <w:tcW w:w="479" w:type="dxa"/>
            <w:noWrap/>
            <w:hideMark/>
          </w:tcPr>
          <w:p w:rsidR="00883893" w:rsidRPr="00481877" w:rsidRDefault="00883893"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ha</w:t>
            </w:r>
          </w:p>
        </w:tc>
        <w:tc>
          <w:tcPr>
            <w:tcW w:w="794" w:type="dxa"/>
            <w:noWrap/>
          </w:tcPr>
          <w:p w:rsidR="00883893" w:rsidRPr="00481877" w:rsidRDefault="00883893"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890,8</w:t>
            </w:r>
          </w:p>
        </w:tc>
        <w:tc>
          <w:tcPr>
            <w:tcW w:w="795" w:type="dxa"/>
            <w:noWrap/>
          </w:tcPr>
          <w:p w:rsidR="00883893" w:rsidRPr="00481877" w:rsidRDefault="00883893"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886,6</w:t>
            </w:r>
          </w:p>
        </w:tc>
        <w:tc>
          <w:tcPr>
            <w:tcW w:w="795" w:type="dxa"/>
            <w:noWrap/>
          </w:tcPr>
          <w:p w:rsidR="00883893" w:rsidRPr="00481877" w:rsidRDefault="00883893"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886,6</w:t>
            </w:r>
          </w:p>
        </w:tc>
        <w:tc>
          <w:tcPr>
            <w:tcW w:w="795" w:type="dxa"/>
            <w:noWrap/>
          </w:tcPr>
          <w:p w:rsidR="00883893" w:rsidRPr="00481877" w:rsidRDefault="00883893"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887,6</w:t>
            </w:r>
          </w:p>
        </w:tc>
        <w:tc>
          <w:tcPr>
            <w:tcW w:w="795" w:type="dxa"/>
            <w:noWrap/>
          </w:tcPr>
          <w:p w:rsidR="00883893" w:rsidRPr="00481877" w:rsidRDefault="00883893"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887,58</w:t>
            </w:r>
          </w:p>
        </w:tc>
        <w:tc>
          <w:tcPr>
            <w:tcW w:w="795" w:type="dxa"/>
          </w:tcPr>
          <w:p w:rsidR="00883893" w:rsidRPr="00481877" w:rsidRDefault="00883893"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887,58</w:t>
            </w:r>
          </w:p>
        </w:tc>
        <w:tc>
          <w:tcPr>
            <w:tcW w:w="795" w:type="dxa"/>
          </w:tcPr>
          <w:p w:rsidR="00883893" w:rsidRPr="00481877" w:rsidRDefault="00883893"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1877">
              <w:rPr>
                <w:rFonts w:asciiTheme="minorHAnsi" w:hAnsiTheme="minorHAnsi" w:cstheme="minorHAnsi"/>
                <w:color w:val="000000"/>
              </w:rPr>
              <w:t>887,49</w:t>
            </w:r>
          </w:p>
        </w:tc>
        <w:tc>
          <w:tcPr>
            <w:tcW w:w="1008" w:type="dxa"/>
          </w:tcPr>
          <w:p w:rsidR="00883893" w:rsidRPr="00481877" w:rsidRDefault="00883893"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1877">
              <w:rPr>
                <w:rFonts w:asciiTheme="minorHAnsi" w:hAnsiTheme="minorHAnsi" w:cstheme="minorHAnsi"/>
                <w:color w:val="000000"/>
              </w:rPr>
              <w:t>887,23</w:t>
            </w:r>
          </w:p>
        </w:tc>
      </w:tr>
      <w:tr w:rsidR="00883893" w:rsidRPr="00481877" w:rsidTr="001957AA">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809" w:type="dxa"/>
            <w:hideMark/>
          </w:tcPr>
          <w:p w:rsidR="00883893" w:rsidRPr="00481877" w:rsidRDefault="00883893" w:rsidP="00481877">
            <w:pPr>
              <w:pStyle w:val="Bezodstpw"/>
              <w:rPr>
                <w:rFonts w:asciiTheme="minorHAnsi" w:hAnsiTheme="minorHAnsi" w:cstheme="minorHAnsi"/>
              </w:rPr>
            </w:pPr>
            <w:r w:rsidRPr="00481877">
              <w:rPr>
                <w:rFonts w:asciiTheme="minorHAnsi" w:hAnsiTheme="minorHAnsi" w:cstheme="minorHAnsi"/>
              </w:rPr>
              <w:t>grunty leśne prywatne</w:t>
            </w:r>
          </w:p>
        </w:tc>
        <w:tc>
          <w:tcPr>
            <w:tcW w:w="479" w:type="dxa"/>
            <w:noWrap/>
            <w:hideMark/>
          </w:tcPr>
          <w:p w:rsidR="00883893" w:rsidRPr="00481877" w:rsidRDefault="00883893"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ha</w:t>
            </w:r>
          </w:p>
        </w:tc>
        <w:tc>
          <w:tcPr>
            <w:tcW w:w="794" w:type="dxa"/>
            <w:noWrap/>
          </w:tcPr>
          <w:p w:rsidR="00883893" w:rsidRPr="00481877" w:rsidRDefault="00883893"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227,5</w:t>
            </w:r>
          </w:p>
        </w:tc>
        <w:tc>
          <w:tcPr>
            <w:tcW w:w="795" w:type="dxa"/>
            <w:noWrap/>
          </w:tcPr>
          <w:p w:rsidR="00883893" w:rsidRPr="00481877" w:rsidRDefault="00883893"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246,8</w:t>
            </w:r>
          </w:p>
        </w:tc>
        <w:tc>
          <w:tcPr>
            <w:tcW w:w="795" w:type="dxa"/>
            <w:noWrap/>
          </w:tcPr>
          <w:p w:rsidR="00883893" w:rsidRPr="00481877" w:rsidRDefault="00883893"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264,4</w:t>
            </w:r>
          </w:p>
        </w:tc>
        <w:tc>
          <w:tcPr>
            <w:tcW w:w="795" w:type="dxa"/>
            <w:noWrap/>
          </w:tcPr>
          <w:p w:rsidR="00883893" w:rsidRPr="00481877" w:rsidRDefault="00883893"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275,5</w:t>
            </w:r>
          </w:p>
        </w:tc>
        <w:tc>
          <w:tcPr>
            <w:tcW w:w="795" w:type="dxa"/>
            <w:noWrap/>
          </w:tcPr>
          <w:p w:rsidR="00883893" w:rsidRPr="00481877" w:rsidRDefault="00883893"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284,52</w:t>
            </w:r>
          </w:p>
        </w:tc>
        <w:tc>
          <w:tcPr>
            <w:tcW w:w="795" w:type="dxa"/>
          </w:tcPr>
          <w:p w:rsidR="00883893" w:rsidRPr="00481877" w:rsidRDefault="00883893"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285,79</w:t>
            </w:r>
          </w:p>
        </w:tc>
        <w:tc>
          <w:tcPr>
            <w:tcW w:w="795" w:type="dxa"/>
          </w:tcPr>
          <w:p w:rsidR="00883893" w:rsidRPr="00481877" w:rsidRDefault="00883893"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1877">
              <w:rPr>
                <w:rFonts w:asciiTheme="minorHAnsi" w:hAnsiTheme="minorHAnsi" w:cstheme="minorHAnsi"/>
                <w:color w:val="000000"/>
              </w:rPr>
              <w:t>292,49</w:t>
            </w:r>
          </w:p>
        </w:tc>
        <w:tc>
          <w:tcPr>
            <w:tcW w:w="1008" w:type="dxa"/>
          </w:tcPr>
          <w:p w:rsidR="00883893" w:rsidRPr="00481877" w:rsidRDefault="00883893" w:rsidP="0048187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1877">
              <w:rPr>
                <w:rFonts w:asciiTheme="minorHAnsi" w:hAnsiTheme="minorHAnsi" w:cstheme="minorHAnsi"/>
                <w:color w:val="000000"/>
              </w:rPr>
              <w:t>304,52</w:t>
            </w:r>
          </w:p>
        </w:tc>
      </w:tr>
      <w:tr w:rsidR="00883893" w:rsidRPr="00481877" w:rsidTr="001957AA">
        <w:trPr>
          <w:trHeight w:val="765"/>
        </w:trPr>
        <w:tc>
          <w:tcPr>
            <w:cnfStyle w:val="001000000000" w:firstRow="0" w:lastRow="0" w:firstColumn="1" w:lastColumn="0" w:oddVBand="0" w:evenVBand="0" w:oddHBand="0" w:evenHBand="0" w:firstRowFirstColumn="0" w:firstRowLastColumn="0" w:lastRowFirstColumn="0" w:lastRowLastColumn="0"/>
            <w:tcW w:w="1809" w:type="dxa"/>
          </w:tcPr>
          <w:p w:rsidR="00883893" w:rsidRPr="00481877" w:rsidRDefault="00883893" w:rsidP="00481877">
            <w:pPr>
              <w:pStyle w:val="Bezodstpw"/>
              <w:rPr>
                <w:rFonts w:asciiTheme="minorHAnsi" w:hAnsiTheme="minorHAnsi" w:cstheme="minorHAnsi"/>
              </w:rPr>
            </w:pPr>
            <w:r w:rsidRPr="00481877">
              <w:rPr>
                <w:rFonts w:asciiTheme="minorHAnsi" w:hAnsiTheme="minorHAnsi" w:cstheme="minorHAnsi"/>
              </w:rPr>
              <w:t>lesistość w %</w:t>
            </w:r>
          </w:p>
        </w:tc>
        <w:tc>
          <w:tcPr>
            <w:tcW w:w="479" w:type="dxa"/>
            <w:noWrap/>
          </w:tcPr>
          <w:p w:rsidR="00883893" w:rsidRPr="00481877" w:rsidRDefault="00883893"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w:t>
            </w:r>
          </w:p>
        </w:tc>
        <w:tc>
          <w:tcPr>
            <w:tcW w:w="794" w:type="dxa"/>
            <w:noWrap/>
          </w:tcPr>
          <w:p w:rsidR="00883893" w:rsidRPr="00481877" w:rsidRDefault="00883893"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15,7</w:t>
            </w:r>
          </w:p>
        </w:tc>
        <w:tc>
          <w:tcPr>
            <w:tcW w:w="795" w:type="dxa"/>
            <w:noWrap/>
          </w:tcPr>
          <w:p w:rsidR="00883893" w:rsidRPr="00481877" w:rsidRDefault="00883893"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16,0</w:t>
            </w:r>
          </w:p>
        </w:tc>
        <w:tc>
          <w:tcPr>
            <w:tcW w:w="795" w:type="dxa"/>
            <w:noWrap/>
          </w:tcPr>
          <w:p w:rsidR="00883893" w:rsidRPr="00481877" w:rsidRDefault="00883893"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16,2</w:t>
            </w:r>
          </w:p>
        </w:tc>
        <w:tc>
          <w:tcPr>
            <w:tcW w:w="795" w:type="dxa"/>
            <w:noWrap/>
          </w:tcPr>
          <w:p w:rsidR="00883893" w:rsidRPr="00481877" w:rsidRDefault="00883893"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16,4</w:t>
            </w:r>
          </w:p>
        </w:tc>
        <w:tc>
          <w:tcPr>
            <w:tcW w:w="795" w:type="dxa"/>
            <w:noWrap/>
          </w:tcPr>
          <w:p w:rsidR="00883893" w:rsidRPr="00481877" w:rsidRDefault="00883893"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16,5</w:t>
            </w:r>
          </w:p>
        </w:tc>
        <w:tc>
          <w:tcPr>
            <w:tcW w:w="795" w:type="dxa"/>
          </w:tcPr>
          <w:p w:rsidR="00883893" w:rsidRPr="00481877" w:rsidRDefault="00883893"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1877">
              <w:rPr>
                <w:rFonts w:asciiTheme="minorHAnsi" w:hAnsiTheme="minorHAnsi" w:cstheme="minorHAnsi"/>
              </w:rPr>
              <w:t>16,5</w:t>
            </w:r>
          </w:p>
        </w:tc>
        <w:tc>
          <w:tcPr>
            <w:tcW w:w="795" w:type="dxa"/>
          </w:tcPr>
          <w:p w:rsidR="00883893" w:rsidRPr="00481877" w:rsidRDefault="00883893"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1877">
              <w:rPr>
                <w:rFonts w:asciiTheme="minorHAnsi" w:hAnsiTheme="minorHAnsi" w:cstheme="minorHAnsi"/>
                <w:color w:val="000000"/>
              </w:rPr>
              <w:t>16,6</w:t>
            </w:r>
          </w:p>
        </w:tc>
        <w:tc>
          <w:tcPr>
            <w:tcW w:w="1008" w:type="dxa"/>
          </w:tcPr>
          <w:p w:rsidR="00883893" w:rsidRPr="00481877" w:rsidRDefault="00883893" w:rsidP="00481877">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1877">
              <w:rPr>
                <w:rFonts w:asciiTheme="minorHAnsi" w:hAnsiTheme="minorHAnsi" w:cstheme="minorHAnsi"/>
                <w:color w:val="000000"/>
              </w:rPr>
              <w:t>16,8</w:t>
            </w:r>
          </w:p>
        </w:tc>
      </w:tr>
    </w:tbl>
    <w:p w:rsidR="00883893" w:rsidRDefault="00883893" w:rsidP="00883893">
      <w:pPr>
        <w:pStyle w:val="Legenda"/>
      </w:pPr>
      <w:r>
        <w:t>Źródło: Opracowanie własne na podstawie danych na podstawie danych GUS – przekroje terytorialne BDL</w:t>
      </w:r>
    </w:p>
    <w:p w:rsidR="00883893" w:rsidRDefault="00883893" w:rsidP="00883893">
      <w:pPr>
        <w:ind w:firstLine="709"/>
        <w:jc w:val="both"/>
      </w:pPr>
      <w:r>
        <w:t>Fauna ma charakter wybitnie nizinny. Z ssaków można spotkać: łosia, borsuka, kunę leśną, orzesznicę, z ptaków: gadożera, pszczołojada, kobuza, bociana czarnego, remiza, z płazów: ropuchę zieloną i paskówkę. Ciekawie reprezentuje się obszar pod względem ichtiologicznym. W rzekach występują: dziki karp, sazan, sandacz, sum, sumik karłowaty, wzdręga i ciernik.</w:t>
      </w:r>
    </w:p>
    <w:p w:rsidR="00883893" w:rsidRDefault="00883893" w:rsidP="00883893">
      <w:pPr>
        <w:ind w:firstLine="709"/>
        <w:jc w:val="both"/>
      </w:pPr>
      <w:r>
        <w:t>N</w:t>
      </w:r>
      <w:r w:rsidRPr="00DD2CB7">
        <w:t>a skrajach lasów, nad brzegami rzek i potoków, na moczarach oraz łąkach można napotkać w sezon</w:t>
      </w:r>
      <w:r>
        <w:t>ie wiosenno-letnim roje motyli. Na terenie G</w:t>
      </w:r>
      <w:r w:rsidRPr="00DD2CB7">
        <w:t xml:space="preserve">miny </w:t>
      </w:r>
      <w:r>
        <w:t>występują</w:t>
      </w:r>
      <w:r w:rsidRPr="00DD2CB7">
        <w:t xml:space="preserve"> unikalne gatunki zwierząt, ptaków oraz roślin. W środowisku leśnym spotyka się sarny, jelenie,</w:t>
      </w:r>
      <w:r>
        <w:t xml:space="preserve"> dziki, lisy, wiewiórki czy też</w:t>
      </w:r>
      <w:r w:rsidRPr="00DD2CB7">
        <w:t xml:space="preserve"> zające. Wśród li</w:t>
      </w:r>
      <w:r>
        <w:t>cznej gromady ptaków żyjących w </w:t>
      </w:r>
      <w:r w:rsidRPr="00DD2CB7">
        <w:t>lasach, parkach i na polach występują ptaki łowne, wodne i drapieżne.</w:t>
      </w:r>
    </w:p>
    <w:p w:rsidR="00883893" w:rsidRDefault="00883893" w:rsidP="00883893">
      <w:pPr>
        <w:ind w:firstLine="708"/>
        <w:jc w:val="both"/>
      </w:pPr>
      <w:r>
        <w:t>Na terenie gminy Tryńcza znajduje się fragment Sieniawskiego Obszaru Chronionego Krajobrazu, który w całości zlokalizowany jest na terenie gmin: Jarosław, Wiązownica, Stary Dzików, Oleszyce, Adamówka, Sieniawa i Tryńcza oraz miasta Sieniawa. Ogólna jego powierzchnia wynosi 52 408 ha. Założony w 1987 roku (uchwała Wojewódzkiej Rady Narodowej w Przemyślu, nr XX/148/87 z dnia 25.06.1987 r., utrzymany w mocy Obwieszczeniem Wojewody Przemyskiego z dnia 11.XII.1990r.). Obszar ten został utworzony dla ochrony Lasów Sieniawskich, jednego z największych kompleksów leśnych w województwie, będącego częścią Puszczy Sandomierskiej.</w:t>
      </w:r>
    </w:p>
    <w:p w:rsidR="00883893" w:rsidRDefault="00883893" w:rsidP="00883893">
      <w:pPr>
        <w:ind w:firstLine="708"/>
        <w:jc w:val="both"/>
      </w:pPr>
      <w:r>
        <w:t>Na terenie gminy zlokalizowane są dwa obszary zatwierdzone Decyzją Komisji Europejskiej w ramach ochrony sieci Natura 2000. Obszar Dolny San jest proponowany przez organizacje pozarządowe w ramach Shadow List w ramach Dyrektywy Siedliskowej:</w:t>
      </w:r>
    </w:p>
    <w:p w:rsidR="00883893" w:rsidRDefault="00883893" w:rsidP="00883893">
      <w:pPr>
        <w:jc w:val="both"/>
      </w:pPr>
      <w:r>
        <w:lastRenderedPageBreak/>
        <w:t>- Dolina Dolnego Sanu (Kod obszaru: PLH180020) objęta jest Dyrektywą Siedliskową oraz Ptasią. Występuje na terenie gminy Sieniawa i Tryńcza. Dolina Dolnego Sanu obejmuje powierzchnię 10176,6 ha w ramach Dyrektywy Siedliskowej. Obszar położony jest w Kotlinie Sandomierskiej na wysokości 140-225 m n.p.m. i obejmuje najbardziej cenne przyrodniczo fragmenty doliny dolnego Sanu na odcinku Jarosław - ujście. Dolina rzeki w stadium dojrzałym osiąga szerokość 7-15 km. Zasadniczymi elementami jej budowy są dwa poziomy terasowe holoceńskie oraz terasa plejstoceńska. W dolinie dominuje krajobraz rolniczy. Siedliska rolnicze zajmują ponad połowę powierzchni, jedną czwartą - siedliska łąkowe i zaroślowe, prawie jedną piątą - wody Sanu. Lasy iglaste, liściaste oraz obszary zantropogenizowane stanowią około 5%. Zidentyfikowano tu 14 typów siedlisk przyrodniczych z Załącznika I Dyrektywy Siedliskowej. Największe znaczenie mają: kompleks zbiorowisk przykorytowych (łęgi wierzbowe, ziołorośla i pionierska roślinność na piaszczystych odsypach i namuliskach). Istotną rolę w dolinie odgrywają także różnego typu ekstensywnie użytkowane łąki oraz liczne starorzecza z bogatą florą wodną. Na suchych łąkach i pastwiskach oraz na krawędziach erozyjnych występują ciekawe zbiorowiska kserotermiczne. Florę i faunę cechuje znaczne bogactwo, wykazano tu 19 gatunków z Załącznika II Dyrektywy Siedliskowej. Występują tu istotne regionalnie populacjemodraszka teleiusa, modraszka nausithousa, wydry i bolenia. W dolinie występują również takie gatunki roślin jak storczyk cuchnący, róża francuska, pięciornik skalny, powojnik prosty, kotewka orzech wodny oraz owad: modliszka zwyczajna. Obszar stanowi istotny korytarz ekologiczny w tym dla ichtiofauny. Wody rzeki San i jej dopływów są siedliskiem cennych gatunków ryb z Załącznika II Dyrektywy Siedliskowej. Dorzecze Sanu objęte jest krajowym programem restytucji ryb wędrownych (certy, troci wędrownej, łososia i jesiotra ostronosego). Dopływy Sanu prezentują walory potencjalnych tarlisk i siedlisk wędrownych ryb prądolubnych o znaczeniu europejskim.</w:t>
      </w:r>
      <w:r w:rsidRPr="00883893">
        <w:t xml:space="preserve"> </w:t>
      </w:r>
    </w:p>
    <w:p w:rsidR="00883893" w:rsidRPr="00883893" w:rsidRDefault="00883893" w:rsidP="00883893">
      <w:pPr>
        <w:jc w:val="both"/>
      </w:pPr>
      <w:r>
        <w:t xml:space="preserve"> Starodub w Pełkiniach (Kod obszaru: PLH180050) obejmuje gminy Przeworsk i Tryńcza. Forma ochrony w ramach sieci Natura 2000 jest specjalny obszar ochrony siedlisk o powierzchni 574,8 ha. Obszar leży na wysokości 180-185 m n.p.m. i obejmuje dobrze zachowany, zwarty kompleks bogatych florystycznie, cennych łąk (77% powierzchni obszaru) znajdujący się pomiędzy miejscowościami Pełkinie, Ujezna, Jagiełła i Rozbórz. Najcenniejsza jest liczna populacja (ponad 1000 osobników) staroduba łąkowego występująca przede wszystkim we wschodniej części obszaru. Siedliska rolnicze zajmują 22%.</w:t>
      </w:r>
    </w:p>
    <w:p w:rsidR="00497E4E" w:rsidRDefault="00497E4E" w:rsidP="00497E4E">
      <w:pPr>
        <w:ind w:firstLine="567"/>
        <w:jc w:val="both"/>
      </w:pPr>
      <w:r>
        <w:t xml:space="preserve">Do najważniejszych surowców mineralnych na terenie Gminy zaliczyć można złoża kruszywa naturalnego, które zajmują powierzchnię ok. 300 ha. Znajdują się one w administracyjnych granicach miejscowości Tryńcza, Gorzyce, Wólka Ogryzkowa i Ubieszyn </w:t>
      </w:r>
      <w:r w:rsidR="00C06E9C">
        <w:t>oraz w Gniewczynie Łańcuckiej i </w:t>
      </w:r>
      <w:r>
        <w:t>Gniewczynie Trynieckiej (obszary górnicze). Pola w Tryńczy w Wólce Ogryzkowej i Ubieszynie położone są w granicach Sieniawskiego Obszaru Chronionego Krajobrazu.</w:t>
      </w:r>
    </w:p>
    <w:p w:rsidR="00497E4E" w:rsidRDefault="00497E4E" w:rsidP="00497E4E">
      <w:pPr>
        <w:ind w:firstLine="567"/>
        <w:jc w:val="both"/>
      </w:pPr>
      <w:r>
        <w:t>W północno – zachodniej części obszaru Gminy występują złoża gazu ziemnego objęte Obszarem Górniczym „Żołynia – Leżajsk”, utworzonym decyzją Ministra Ochrony Środowiska, Zasobów Naturalnych i Leśnictwa.</w:t>
      </w:r>
    </w:p>
    <w:p w:rsidR="00497E4E" w:rsidRDefault="00497E4E" w:rsidP="00497E4E">
      <w:pPr>
        <w:ind w:firstLine="567"/>
        <w:jc w:val="both"/>
      </w:pPr>
      <w:r w:rsidRPr="00A1629C">
        <w:t>Głównym źródłem zanieczyszczeń powietrza na terenie gminy są paleniska domowe (indywidualne kotłownie), wykorzystujące jako paliwo węgiel kami</w:t>
      </w:r>
      <w:r w:rsidR="00C06E9C">
        <w:t>enny oraz ruch komunikacyjny. W </w:t>
      </w:r>
      <w:r w:rsidRPr="00A1629C">
        <w:t>okresie wegetacji istnieje możliwość zanieczyszczenia pow</w:t>
      </w:r>
      <w:r w:rsidR="00C06E9C">
        <w:t>ietrza środkami owadobójczymi i </w:t>
      </w:r>
      <w:r w:rsidRPr="00A1629C">
        <w:t xml:space="preserve">chwastobójczymi rozpylanymi na polach. </w:t>
      </w:r>
    </w:p>
    <w:p w:rsidR="00883893" w:rsidRDefault="00883893" w:rsidP="00883893">
      <w:pPr>
        <w:pStyle w:val="Legenda"/>
      </w:pPr>
      <w:bookmarkStart w:id="67" w:name="_Toc495887778"/>
      <w:r>
        <w:lastRenderedPageBreak/>
        <w:t xml:space="preserve">Mapa </w:t>
      </w:r>
      <w:r w:rsidR="00172343">
        <w:fldChar w:fldCharType="begin"/>
      </w:r>
      <w:r w:rsidR="00172343">
        <w:instrText xml:space="preserve"> SEQ Mapa \* ARABIC </w:instrText>
      </w:r>
      <w:r w:rsidR="00172343">
        <w:fldChar w:fldCharType="separate"/>
      </w:r>
      <w:r>
        <w:rPr>
          <w:noProof/>
        </w:rPr>
        <w:t>3</w:t>
      </w:r>
      <w:r w:rsidR="00172343">
        <w:rPr>
          <w:noProof/>
        </w:rPr>
        <w:fldChar w:fldCharType="end"/>
      </w:r>
      <w:r>
        <w:t xml:space="preserve"> Obszary chronione na terenie gminy Tryńcza</w:t>
      </w:r>
      <w:bookmarkEnd w:id="67"/>
    </w:p>
    <w:p w:rsidR="00C06E9C" w:rsidRDefault="00883893" w:rsidP="00C06E9C">
      <w:pPr>
        <w:pStyle w:val="Legenda"/>
        <w:jc w:val="center"/>
      </w:pPr>
      <w:r>
        <w:rPr>
          <w:noProof/>
          <w:lang w:eastAsia="pl-PL"/>
        </w:rPr>
        <w:drawing>
          <wp:inline distT="0" distB="0" distL="0" distR="0" wp14:anchorId="4890E24D" wp14:editId="794672A5">
            <wp:extent cx="4229359" cy="412432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33190" cy="4128061"/>
                    </a:xfrm>
                    <a:prstGeom prst="rect">
                      <a:avLst/>
                    </a:prstGeom>
                    <a:noFill/>
                    <a:ln>
                      <a:noFill/>
                    </a:ln>
                  </pic:spPr>
                </pic:pic>
              </a:graphicData>
            </a:graphic>
          </wp:inline>
        </w:drawing>
      </w:r>
    </w:p>
    <w:p w:rsidR="00883893" w:rsidRPr="00883893" w:rsidRDefault="00883893" w:rsidP="00883893">
      <w:pPr>
        <w:pStyle w:val="Legenda"/>
      </w:pPr>
      <w:r>
        <w:t xml:space="preserve">Źródło: </w:t>
      </w:r>
      <w:r w:rsidRPr="00883893">
        <w:t>http://geoserwis.gdos.gov.pl/mapy/</w:t>
      </w:r>
    </w:p>
    <w:p w:rsidR="007008B8" w:rsidRDefault="007008B8" w:rsidP="00530737"/>
    <w:p w:rsidR="00481877" w:rsidRDefault="00481877" w:rsidP="00481877">
      <w:pPr>
        <w:pStyle w:val="Nagwek2"/>
      </w:pPr>
      <w:bookmarkStart w:id="68" w:name="_Toc496558072"/>
      <w:r>
        <w:t>Gospodarka</w:t>
      </w:r>
      <w:bookmarkEnd w:id="68"/>
    </w:p>
    <w:p w:rsidR="00481877" w:rsidRDefault="00481877" w:rsidP="00481877"/>
    <w:p w:rsidR="00BB55E0" w:rsidRDefault="00BB55E0" w:rsidP="00BB55E0">
      <w:pPr>
        <w:pStyle w:val="Nagwek3"/>
      </w:pPr>
      <w:bookmarkStart w:id="69" w:name="_Toc496558073"/>
      <w:r>
        <w:t>Rolnictwo</w:t>
      </w:r>
      <w:bookmarkEnd w:id="69"/>
      <w:r>
        <w:t xml:space="preserve"> </w:t>
      </w:r>
    </w:p>
    <w:p w:rsidR="00BB55E0" w:rsidRDefault="00BB55E0" w:rsidP="00BB55E0"/>
    <w:p w:rsidR="00BB55E0" w:rsidRPr="00500461" w:rsidRDefault="00BB55E0" w:rsidP="00BB55E0">
      <w:pPr>
        <w:ind w:firstLine="851"/>
        <w:jc w:val="both"/>
      </w:pPr>
      <w:r w:rsidRPr="00500461">
        <w:t xml:space="preserve">Gmina Tryńcza </w:t>
      </w:r>
      <w:r>
        <w:t>ma charakter rolniczy. P</w:t>
      </w:r>
      <w:r w:rsidRPr="00500461">
        <w:t>ołożona jest na terenie glebowo-rolniczego Regionu Kańczudzko-Przemyskiego i stanowi jego odrębny podregion.</w:t>
      </w:r>
      <w:r>
        <w:t xml:space="preserve"> </w:t>
      </w:r>
      <w:r w:rsidRPr="00500461">
        <w:t xml:space="preserve">Gleby występujące </w:t>
      </w:r>
      <w:r>
        <w:br/>
      </w:r>
      <w:r w:rsidRPr="00500461">
        <w:t>na tere</w:t>
      </w:r>
      <w:r>
        <w:t>nie G</w:t>
      </w:r>
      <w:r w:rsidRPr="00500461">
        <w:t>miny zaliczane są do przeciętnyc</w:t>
      </w:r>
      <w:r>
        <w:t>h z przewagą gruntów słabszych.</w:t>
      </w:r>
      <w:r w:rsidRPr="00500461">
        <w:t xml:space="preserve"> Większość gleb zboni</w:t>
      </w:r>
      <w:r>
        <w:t>tacjo</w:t>
      </w:r>
      <w:r w:rsidRPr="00500461">
        <w:t>wana jest w klasach</w:t>
      </w:r>
      <w:r>
        <w:t>:</w:t>
      </w:r>
      <w:r w:rsidRPr="00500461">
        <w:t xml:space="preserve"> V, następ</w:t>
      </w:r>
      <w:r>
        <w:t>nie IIIa, IV</w:t>
      </w:r>
      <w:r w:rsidRPr="00500461">
        <w:t>b oraz IVa.  Grunty klasy I stanowią zaledwie 0,1% ogólnej powierzchni gruntów.</w:t>
      </w:r>
      <w:r>
        <w:t xml:space="preserve"> </w:t>
      </w:r>
      <w:r w:rsidRPr="00500461">
        <w:t>Do najbardziej żyznych gleb należą mady występujące w dolinach rzek San oraz Wisł</w:t>
      </w:r>
      <w:r>
        <w:t>ok przepływających przez teren G</w:t>
      </w:r>
      <w:r w:rsidRPr="00500461">
        <w:t xml:space="preserve">miny. </w:t>
      </w:r>
    </w:p>
    <w:p w:rsidR="00BB55E0" w:rsidRDefault="00BB55E0" w:rsidP="00BB55E0">
      <w:pPr>
        <w:ind w:firstLine="708"/>
        <w:jc w:val="both"/>
      </w:pPr>
      <w:r>
        <w:t>Stan gleb na terenie G</w:t>
      </w:r>
      <w:r w:rsidRPr="00500461">
        <w:t xml:space="preserve">miny jest na ogół dobry. </w:t>
      </w:r>
      <w:r>
        <w:t>Brak jest intensywnego</w:t>
      </w:r>
      <w:r w:rsidRPr="00500461">
        <w:t xml:space="preserve"> oddziaływania przemysłu, a tym samym zmian w naturalnych właściwościach </w:t>
      </w:r>
      <w:r>
        <w:t>fizyko-chemicznych gleb, przez co s</w:t>
      </w:r>
      <w:r w:rsidRPr="00500461">
        <w:t>topień zanieczyszczenia chemicznego g</w:t>
      </w:r>
      <w:r>
        <w:t>leb jest znikomy.  Nie stwierdzono także</w:t>
      </w:r>
      <w:r w:rsidRPr="00500461">
        <w:t xml:space="preserve"> wpływu emisji przemysłowych na poziom zawartości metali ciężkich </w:t>
      </w:r>
      <w:r>
        <w:t xml:space="preserve"> </w:t>
      </w:r>
      <w:r w:rsidRPr="00500461">
        <w:t>i aktywności promieniotwórczej w glebie.</w:t>
      </w:r>
      <w:r>
        <w:t xml:space="preserve"> Z całkowitej powierzchni Gminy (7.005 ha) użytki rolne zajmują 4.820 ha.</w:t>
      </w:r>
    </w:p>
    <w:p w:rsidR="00BB55E0" w:rsidRDefault="00BB55E0" w:rsidP="00BB55E0">
      <w:pPr>
        <w:ind w:firstLine="708"/>
      </w:pPr>
      <w:r>
        <w:t>Sposób wykorzystania gruntów na terenie Gminy Tryńcza obrazuje wykres poniżej.</w:t>
      </w:r>
    </w:p>
    <w:p w:rsidR="00BB55E0" w:rsidRDefault="00BB55E0" w:rsidP="00BB55E0">
      <w:pPr>
        <w:pStyle w:val="Legenda"/>
      </w:pPr>
      <w:bookmarkStart w:id="70" w:name="_Toc495887831"/>
      <w:r>
        <w:lastRenderedPageBreak/>
        <w:t xml:space="preserve">Wykres </w:t>
      </w:r>
      <w:r w:rsidR="00172343">
        <w:fldChar w:fldCharType="begin"/>
      </w:r>
      <w:r w:rsidR="00172343">
        <w:instrText xml:space="preserve"> SEQ Wykres \* ARABIC </w:instrText>
      </w:r>
      <w:r w:rsidR="00172343">
        <w:fldChar w:fldCharType="separate"/>
      </w:r>
      <w:r w:rsidR="00A57C08">
        <w:rPr>
          <w:noProof/>
        </w:rPr>
        <w:t>17</w:t>
      </w:r>
      <w:r w:rsidR="00172343">
        <w:rPr>
          <w:noProof/>
        </w:rPr>
        <w:fldChar w:fldCharType="end"/>
      </w:r>
      <w:r>
        <w:t xml:space="preserve"> </w:t>
      </w:r>
      <w:r w:rsidRPr="00BB55E0">
        <w:t>Użytki rolne na terenie Gminy Tryńcza jako procent powierzchni gminy. Stan na 31.12.2014</w:t>
      </w:r>
      <w:bookmarkEnd w:id="70"/>
    </w:p>
    <w:p w:rsidR="00BB55E0" w:rsidRDefault="00BB55E0" w:rsidP="00BB55E0">
      <w:pPr>
        <w:pStyle w:val="Legenda"/>
        <w:rPr>
          <w:rFonts w:eastAsia="Constantia"/>
        </w:rPr>
      </w:pPr>
      <w:r>
        <w:rPr>
          <w:noProof/>
          <w:lang w:eastAsia="pl-PL"/>
        </w:rPr>
        <w:drawing>
          <wp:inline distT="0" distB="0" distL="0" distR="0" wp14:anchorId="1EA91982" wp14:editId="5844438D">
            <wp:extent cx="5753870" cy="3314700"/>
            <wp:effectExtent l="19050" t="0" r="0" b="0"/>
            <wp:docPr id="30" name="Obraz 3" descr="ry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21.png"/>
                    <pic:cNvPicPr/>
                  </pic:nvPicPr>
                  <pic:blipFill>
                    <a:blip r:embed="rId33" cstate="print"/>
                    <a:stretch>
                      <a:fillRect/>
                    </a:stretch>
                  </pic:blipFill>
                  <pic:spPr>
                    <a:xfrm>
                      <a:off x="0" y="0"/>
                      <a:ext cx="5760720" cy="3318646"/>
                    </a:xfrm>
                    <a:prstGeom prst="rect">
                      <a:avLst/>
                    </a:prstGeom>
                  </pic:spPr>
                </pic:pic>
              </a:graphicData>
            </a:graphic>
          </wp:inline>
        </w:drawing>
      </w:r>
      <w:r w:rsidRPr="00BB55E0">
        <w:rPr>
          <w:rFonts w:eastAsia="Constantia"/>
        </w:rPr>
        <w:t xml:space="preserve"> </w:t>
      </w:r>
      <w:r>
        <w:rPr>
          <w:rFonts w:eastAsia="Constantia"/>
        </w:rPr>
        <w:t xml:space="preserve">Źródło: Strategia Rozwoju Gminy Tryńcza </w:t>
      </w:r>
    </w:p>
    <w:p w:rsidR="00BB55E0" w:rsidRPr="008D70E8" w:rsidRDefault="00BB55E0" w:rsidP="00BB55E0">
      <w:pPr>
        <w:spacing w:before="100" w:beforeAutospacing="1"/>
        <w:ind w:firstLine="851"/>
        <w:jc w:val="both"/>
      </w:pPr>
      <w:r>
        <w:t xml:space="preserve">Według stanu na koniec roku 2014 w Gminie działało 1.436 gospodarstw, </w:t>
      </w:r>
      <w:r>
        <w:br/>
        <w:t>co oznacza stały spadek – w roku 2002 było ich 1.943. W strukturze rolnej Gminy Tryńcza dominują gospodarstwa małopowierzchniowe: do 5 hektarów, których jest łącznie 1.338, co stanowi  93,2% ogółu gospodarstw. Gospodarstw większych – o areale przekraczającym 15 hektarów było 16 (1,1%). Nie widać również przesłanek ku temu, aby</w:t>
      </w:r>
      <w:r w:rsidRPr="00D814D2">
        <w:t xml:space="preserve"> niekorzystna struktura obsza</w:t>
      </w:r>
      <w:r>
        <w:t>rowa gospodarstw rolnych uległa w najbliższym czasie szybkim</w:t>
      </w:r>
      <w:r w:rsidRPr="00D814D2">
        <w:t xml:space="preserve"> </w:t>
      </w:r>
      <w:r>
        <w:t>przekształceniom</w:t>
      </w:r>
      <w:r w:rsidRPr="00D814D2">
        <w:t xml:space="preserve">. </w:t>
      </w:r>
      <w:r>
        <w:t>Zmiany takie</w:t>
      </w:r>
      <w:r w:rsidRPr="00D814D2">
        <w:t xml:space="preserve"> są konieczne, </w:t>
      </w:r>
      <w:r>
        <w:t>gdyż istniejące</w:t>
      </w:r>
      <w:r w:rsidRPr="00D814D2">
        <w:t xml:space="preserve"> rozdrobnienie gospodarstw rolnych jest przyczyną niskiej t</w:t>
      </w:r>
      <w:r>
        <w:t>owarowości produkcji rolnej, co</w:t>
      </w:r>
      <w:r w:rsidRPr="00D814D2">
        <w:t xml:space="preserve"> w bezpośredni sposób przekłada się na wyniki ekonomiczne. </w:t>
      </w:r>
      <w:r>
        <w:t>Jedną z k</w:t>
      </w:r>
      <w:r w:rsidRPr="00D814D2">
        <w:t>onsekwencj</w:t>
      </w:r>
      <w:r>
        <w:t>i</w:t>
      </w:r>
      <w:r w:rsidRPr="00D814D2">
        <w:t xml:space="preserve"> istniejącego rozdrobnienia jest </w:t>
      </w:r>
      <w:r>
        <w:t xml:space="preserve">produkcja </w:t>
      </w:r>
      <w:r w:rsidRPr="008D70E8">
        <w:t xml:space="preserve">wielokierunkowa i niewyspecjalizowana. </w:t>
      </w:r>
    </w:p>
    <w:p w:rsidR="00BB55E0" w:rsidRDefault="00BB55E0" w:rsidP="00BB55E0">
      <w:pPr>
        <w:ind w:firstLine="851"/>
        <w:jc w:val="both"/>
        <w:rPr>
          <w:rFonts w:eastAsia="Times New Roman"/>
        </w:rPr>
      </w:pPr>
      <w:r w:rsidRPr="008D70E8">
        <w:t xml:space="preserve">Zgodnie ze stanem na 31.12.2015 w Gminie Tryńcza zarejestrowanych jest obecnie </w:t>
      </w:r>
      <w:r w:rsidRPr="008D70E8">
        <w:rPr>
          <w:rFonts w:eastAsia="Times New Roman"/>
        </w:rPr>
        <w:t xml:space="preserve">1244 </w:t>
      </w:r>
      <w:r w:rsidRPr="00F003D5">
        <w:rPr>
          <w:rFonts w:eastAsia="Times New Roman"/>
        </w:rPr>
        <w:t>podat</w:t>
      </w:r>
      <w:r w:rsidRPr="008D70E8">
        <w:rPr>
          <w:rFonts w:eastAsia="Times New Roman"/>
        </w:rPr>
        <w:t>ników posiadających na terenie G</w:t>
      </w:r>
      <w:r w:rsidRPr="00F003D5">
        <w:rPr>
          <w:rFonts w:eastAsia="Times New Roman"/>
        </w:rPr>
        <w:t xml:space="preserve">miny Tryńcza grunty </w:t>
      </w:r>
      <w:r w:rsidRPr="008D70E8">
        <w:rPr>
          <w:rFonts w:eastAsia="Times New Roman"/>
        </w:rPr>
        <w:t xml:space="preserve">o powierzchni </w:t>
      </w:r>
      <w:r w:rsidRPr="00F003D5">
        <w:rPr>
          <w:rFonts w:eastAsia="Times New Roman"/>
        </w:rPr>
        <w:t xml:space="preserve">do 1 ha </w:t>
      </w:r>
      <w:r w:rsidRPr="008D70E8">
        <w:rPr>
          <w:rFonts w:eastAsia="Times New Roman"/>
        </w:rPr>
        <w:br/>
        <w:t>i zaliczanych do</w:t>
      </w:r>
      <w:r w:rsidRPr="00F003D5">
        <w:rPr>
          <w:rFonts w:eastAsia="Times New Roman"/>
        </w:rPr>
        <w:t xml:space="preserve"> </w:t>
      </w:r>
      <w:r w:rsidRPr="008D70E8">
        <w:rPr>
          <w:rFonts w:eastAsia="Times New Roman"/>
        </w:rPr>
        <w:t>grupy</w:t>
      </w:r>
      <w:r w:rsidRPr="00F003D5">
        <w:rPr>
          <w:rFonts w:eastAsia="Times New Roman"/>
        </w:rPr>
        <w:t xml:space="preserve"> rolnik</w:t>
      </w:r>
      <w:r w:rsidRPr="008D70E8">
        <w:rPr>
          <w:rFonts w:eastAsia="Times New Roman"/>
        </w:rPr>
        <w:t>ów</w:t>
      </w:r>
      <w:r w:rsidRPr="00F003D5">
        <w:rPr>
          <w:rFonts w:eastAsia="Times New Roman"/>
        </w:rPr>
        <w:t xml:space="preserve"> ze względu na fakt posiadania gruntów</w:t>
      </w:r>
      <w:r w:rsidRPr="008D70E8">
        <w:rPr>
          <w:rFonts w:eastAsia="Times New Roman"/>
        </w:rPr>
        <w:t xml:space="preserve"> również</w:t>
      </w:r>
      <w:r w:rsidRPr="00F003D5">
        <w:rPr>
          <w:rFonts w:eastAsia="Times New Roman"/>
        </w:rPr>
        <w:t xml:space="preserve"> na terenie innych gmin</w:t>
      </w:r>
      <w:r w:rsidRPr="008D70E8">
        <w:rPr>
          <w:rFonts w:eastAsia="Times New Roman"/>
        </w:rPr>
        <w:t xml:space="preserve">. Ponadto </w:t>
      </w:r>
      <w:r w:rsidRPr="008D70E8">
        <w:t xml:space="preserve">w Gminie zarejestrowanych jest </w:t>
      </w:r>
      <w:r w:rsidRPr="00F003D5">
        <w:rPr>
          <w:rFonts w:eastAsia="Times New Roman"/>
        </w:rPr>
        <w:t>1894 - podatników posiadających nieruchomości</w:t>
      </w:r>
      <w:r w:rsidRPr="008D70E8">
        <w:rPr>
          <w:rFonts w:eastAsia="Times New Roman"/>
        </w:rPr>
        <w:t xml:space="preserve"> (</w:t>
      </w:r>
      <w:r w:rsidRPr="00F003D5">
        <w:rPr>
          <w:rFonts w:eastAsia="Times New Roman"/>
        </w:rPr>
        <w:t>grunty</w:t>
      </w:r>
      <w:r w:rsidRPr="008D70E8">
        <w:rPr>
          <w:rFonts w:eastAsia="Times New Roman"/>
        </w:rPr>
        <w:t>) o powierzchni do 1 ha, a co za tym idzie nie zaliczających się do gospodarstw rolnych.</w:t>
      </w:r>
      <w:r w:rsidRPr="00F003D5">
        <w:rPr>
          <w:rFonts w:eastAsia="Times New Roman"/>
        </w:rPr>
        <w:t> </w:t>
      </w:r>
    </w:p>
    <w:p w:rsidR="00BB55E0" w:rsidRDefault="00BB55E0" w:rsidP="00BB55E0">
      <w:pPr>
        <w:spacing w:before="100" w:beforeAutospacing="1"/>
        <w:ind w:firstLine="851"/>
        <w:jc w:val="both"/>
      </w:pPr>
      <w:r w:rsidRPr="00BB55E0">
        <w:rPr>
          <w:b/>
        </w:rPr>
        <w:t>Skutkiem rozdrobnienia jest wspomniany niski poziom konkurencyjności prowadzonej działalności rolniczej.</w:t>
      </w:r>
      <w:r>
        <w:t xml:space="preserve"> Gospodarstwa te </w:t>
      </w:r>
      <w:r w:rsidRPr="00D814D2">
        <w:t>znaczną część lub całość wytworzonej produkcji przeznaczają na zaopatrzenie w żywność swojej rodziny. Podobna tendencja zauważalna jest wśród gospodarstw rolnych na terenie powiatu przeworskiego. Ponad</w:t>
      </w:r>
      <w:r>
        <w:t xml:space="preserve"> 60% gospodarstw jest zarządzana</w:t>
      </w:r>
      <w:r w:rsidRPr="00D814D2">
        <w:t xml:space="preserve"> przez osoby nie posiadające wykształcenia rolniczego, a jedynie </w:t>
      </w:r>
      <w:r>
        <w:t xml:space="preserve">poniżej 1% </w:t>
      </w:r>
      <w:r w:rsidRPr="00D814D2">
        <w:t xml:space="preserve">prowadzona jest przez osoby </w:t>
      </w:r>
      <w:r>
        <w:t>z</w:t>
      </w:r>
      <w:r w:rsidRPr="00D814D2">
        <w:t xml:space="preserve"> wyższym wykształceniem rolniczym. Taka struktura wykształcenia wśród osób odpowiedzialnych za kierowanie gospodarstwem rolnym znacznie </w:t>
      </w:r>
      <w:r>
        <w:t>zmniejsza stopień konkurencyjności</w:t>
      </w:r>
      <w:r w:rsidRPr="00D814D2">
        <w:t xml:space="preserve">. </w:t>
      </w:r>
      <w:r>
        <w:t xml:space="preserve">Stąd ważnym zadaniem będzie działanie na rzecz podnoszenia jakości funkcjonowania gospodarstw rolnych w Gminie przy współpracy ze strony Ośrodków Doradztwa Rolniczego (ODR). Działalność w zakresie doradztwa rolniczego dla rolników z terenu Gminy </w:t>
      </w:r>
      <w:r w:rsidRPr="00197248">
        <w:rPr>
          <w:color w:val="000000"/>
        </w:rPr>
        <w:t>prowadzi Podkarpacki Ośrodek Doradztwa Rolniczego</w:t>
      </w:r>
      <w:r>
        <w:rPr>
          <w:color w:val="000000"/>
        </w:rPr>
        <w:t xml:space="preserve"> </w:t>
      </w:r>
      <w:r>
        <w:rPr>
          <w:color w:val="000000"/>
        </w:rPr>
        <w:lastRenderedPageBreak/>
        <w:t xml:space="preserve">(PODR), działający </w:t>
      </w:r>
      <w:r w:rsidRPr="00197248">
        <w:rPr>
          <w:color w:val="000000"/>
        </w:rPr>
        <w:t>w oparciu o ustawę o jednostkach doradztwa rolniczego</w:t>
      </w:r>
      <w:r>
        <w:rPr>
          <w:color w:val="000000"/>
        </w:rPr>
        <w:t>,</w:t>
      </w:r>
      <w:r w:rsidRPr="00197248">
        <w:rPr>
          <w:color w:val="000000"/>
        </w:rPr>
        <w:t xml:space="preserve"> prow</w:t>
      </w:r>
      <w:r>
        <w:rPr>
          <w:color w:val="000000"/>
        </w:rPr>
        <w:t>adzący</w:t>
      </w:r>
      <w:r w:rsidRPr="00197248">
        <w:rPr>
          <w:color w:val="000000"/>
        </w:rPr>
        <w:t xml:space="preserve"> działalność informacyjną, edukacyjno-szkoleniową</w:t>
      </w:r>
      <w:r>
        <w:rPr>
          <w:color w:val="000000"/>
        </w:rPr>
        <w:t xml:space="preserve"> oraz</w:t>
      </w:r>
      <w:r w:rsidRPr="00197248">
        <w:rPr>
          <w:color w:val="000000"/>
        </w:rPr>
        <w:t xml:space="preserve"> doradczą.</w:t>
      </w:r>
      <w:r>
        <w:rPr>
          <w:color w:val="000000"/>
        </w:rPr>
        <w:t xml:space="preserve"> </w:t>
      </w:r>
      <w:r w:rsidRPr="00197248">
        <w:rPr>
          <w:color w:val="000000"/>
        </w:rPr>
        <w:t>Udziela</w:t>
      </w:r>
      <w:r>
        <w:rPr>
          <w:color w:val="000000"/>
        </w:rPr>
        <w:t xml:space="preserve"> on wszechstronnej pomocy rolnikom i</w:t>
      </w:r>
      <w:r w:rsidRPr="00197248">
        <w:rPr>
          <w:color w:val="000000"/>
        </w:rPr>
        <w:t xml:space="preserve"> mieszkańcom obszarów wiejskich, </w:t>
      </w:r>
      <w:r>
        <w:rPr>
          <w:color w:val="000000"/>
        </w:rPr>
        <w:t xml:space="preserve">mając na celu </w:t>
      </w:r>
      <w:r w:rsidRPr="00197248">
        <w:rPr>
          <w:color w:val="000000"/>
        </w:rPr>
        <w:t xml:space="preserve">zwiększania dochodów </w:t>
      </w:r>
      <w:r>
        <w:rPr>
          <w:color w:val="000000"/>
        </w:rPr>
        <w:t>gospodarstw rolnych oraz poprawę</w:t>
      </w:r>
      <w:r w:rsidRPr="00197248">
        <w:rPr>
          <w:color w:val="000000"/>
        </w:rPr>
        <w:t xml:space="preserve"> warunków życia na wsi. </w:t>
      </w:r>
      <w:r>
        <w:rPr>
          <w:color w:val="000000"/>
        </w:rPr>
        <w:t>Najbliższy od</w:t>
      </w:r>
      <w:r>
        <w:t xml:space="preserve">dział terenowy (powiatowy) zlokalizowany jest w Przeworsku. </w:t>
      </w:r>
      <w:r w:rsidRPr="00425F8E">
        <w:t xml:space="preserve"> </w:t>
      </w:r>
      <w:r>
        <w:t xml:space="preserve"> </w:t>
      </w:r>
    </w:p>
    <w:p w:rsidR="00BB55E0" w:rsidRDefault="00BB55E0" w:rsidP="00BB55E0">
      <w:pPr>
        <w:pStyle w:val="Nagwek3"/>
      </w:pPr>
      <w:bookmarkStart w:id="71" w:name="_Toc496558074"/>
      <w:r>
        <w:t>Podmioty gospodarcze</w:t>
      </w:r>
      <w:bookmarkEnd w:id="71"/>
    </w:p>
    <w:p w:rsidR="00BB55E0" w:rsidRPr="0082733B" w:rsidRDefault="00BB55E0" w:rsidP="00BB55E0">
      <w:pPr>
        <w:spacing w:before="100" w:beforeAutospacing="1" w:after="100" w:afterAutospacing="1"/>
        <w:ind w:firstLine="851"/>
        <w:jc w:val="both"/>
        <w:rPr>
          <w:color w:val="000000"/>
        </w:rPr>
      </w:pPr>
      <w:r w:rsidRPr="0082733B">
        <w:rPr>
          <w:color w:val="000000"/>
        </w:rPr>
        <w:t xml:space="preserve">Gmina Tryńcza na tle innych gmin powiatu przeworskiego oraz województwa podkarpackiego nie wykazuje szczególnie wysokiego nasycenia podmiotami gospodarczymi. </w:t>
      </w:r>
      <w:r w:rsidRPr="00F003D5">
        <w:rPr>
          <w:color w:val="000000"/>
        </w:rPr>
        <w:t>Według rejestru REGON, na koniec roku 2014 na terenie Gminy zarejestrowanych było 370 podmiotów gospodarki narodowej, z</w:t>
      </w:r>
      <w:r w:rsidRPr="000E4FA3">
        <w:rPr>
          <w:color w:val="000000"/>
        </w:rPr>
        <w:t xml:space="preserve"> czego zdecydowaną większość, bo 294 stanowiły osoby fizyczne prowadzące działalność gospodarczą. Stanowiły one 79,4% ogółu przedsiębiorców </w:t>
      </w:r>
      <w:r w:rsidRPr="0082733B">
        <w:rPr>
          <w:color w:val="000000"/>
        </w:rPr>
        <w:t xml:space="preserve">w </w:t>
      </w:r>
      <w:r>
        <w:rPr>
          <w:color w:val="000000"/>
        </w:rPr>
        <w:t>Gminie</w:t>
      </w:r>
      <w:r w:rsidRPr="0082733B">
        <w:rPr>
          <w:color w:val="000000"/>
        </w:rPr>
        <w:t xml:space="preserve">. Liczba podmiotów gospodarczych plasuje </w:t>
      </w:r>
      <w:r>
        <w:rPr>
          <w:color w:val="000000"/>
        </w:rPr>
        <w:t>gminę</w:t>
      </w:r>
      <w:r w:rsidRPr="0082733B">
        <w:rPr>
          <w:color w:val="000000"/>
        </w:rPr>
        <w:t xml:space="preserve"> na </w:t>
      </w:r>
      <w:r>
        <w:rPr>
          <w:color w:val="000000"/>
        </w:rPr>
        <w:t>3.</w:t>
      </w:r>
      <w:r w:rsidRPr="0082733B">
        <w:rPr>
          <w:color w:val="000000"/>
        </w:rPr>
        <w:t xml:space="preserve"> miejscu w</w:t>
      </w:r>
      <w:r>
        <w:rPr>
          <w:color w:val="000000"/>
        </w:rPr>
        <w:t xml:space="preserve"> powiecie</w:t>
      </w:r>
      <w:r w:rsidRPr="0082733B">
        <w:rPr>
          <w:color w:val="000000"/>
        </w:rPr>
        <w:t>.</w:t>
      </w:r>
    </w:p>
    <w:p w:rsidR="00BB55E0" w:rsidRDefault="00BB55E0" w:rsidP="00BB55E0">
      <w:pPr>
        <w:ind w:firstLine="708"/>
        <w:jc w:val="both"/>
        <w:rPr>
          <w:color w:val="000000"/>
        </w:rPr>
      </w:pPr>
      <w:r w:rsidRPr="00FC7E65">
        <w:rPr>
          <w:color w:val="000000"/>
        </w:rPr>
        <w:t xml:space="preserve">Podmioty gospodarcze działające na </w:t>
      </w:r>
      <w:r w:rsidRPr="000E4FA3">
        <w:rPr>
          <w:color w:val="000000"/>
        </w:rPr>
        <w:t xml:space="preserve">terenie </w:t>
      </w:r>
      <w:r>
        <w:rPr>
          <w:color w:val="000000"/>
        </w:rPr>
        <w:t>G</w:t>
      </w:r>
      <w:r w:rsidRPr="000E4FA3">
        <w:rPr>
          <w:color w:val="000000"/>
        </w:rPr>
        <w:t xml:space="preserve">miny to w przeważającej mierze mikroprzedsiębiorstwa, zatrudniające poniżej 10 pracowników – </w:t>
      </w:r>
      <w:r w:rsidR="00CC50BF">
        <w:rPr>
          <w:color w:val="000000"/>
        </w:rPr>
        <w:t xml:space="preserve">w roku referencyjnym 2014 było ich </w:t>
      </w:r>
      <w:r w:rsidRPr="000E4FA3">
        <w:rPr>
          <w:color w:val="000000"/>
        </w:rPr>
        <w:t xml:space="preserve"> łącznie 354, co stanowi</w:t>
      </w:r>
      <w:r w:rsidR="00CC50BF">
        <w:rPr>
          <w:color w:val="000000"/>
        </w:rPr>
        <w:t>ło</w:t>
      </w:r>
      <w:r w:rsidRPr="000E4FA3">
        <w:rPr>
          <w:color w:val="000000"/>
        </w:rPr>
        <w:t xml:space="preserve"> 95,7</w:t>
      </w:r>
      <w:r>
        <w:rPr>
          <w:color w:val="000000"/>
        </w:rPr>
        <w:t>% ogólnej ich liczby. P</w:t>
      </w:r>
      <w:r w:rsidRPr="000E4FA3">
        <w:rPr>
          <w:color w:val="000000"/>
        </w:rPr>
        <w:t>onadto działało 15 firm małych, nie będących firmami mikro (czyli zatrudniających od 10 do 49 pracowników), co stanowi 4% ogółu</w:t>
      </w:r>
      <w:r>
        <w:rPr>
          <w:color w:val="000000"/>
        </w:rPr>
        <w:t xml:space="preserve">. Brakuje firm średnich i dużych. [Fabryka Wagonów Gniewczyna Łańcucka </w:t>
      </w:r>
      <w:r w:rsidR="00A57C08">
        <w:rPr>
          <w:color w:val="000000"/>
        </w:rPr>
        <w:t>zaprzestała działalności po ogłoszeniu upadłości}.</w:t>
      </w:r>
    </w:p>
    <w:p w:rsidR="002943F5" w:rsidRPr="002943F5" w:rsidRDefault="002943F5" w:rsidP="002943F5"/>
    <w:p w:rsidR="00A57C08" w:rsidRDefault="00A57C08" w:rsidP="00A57C08">
      <w:pPr>
        <w:pStyle w:val="Legenda"/>
      </w:pPr>
      <w:bookmarkStart w:id="72" w:name="_Toc495887832"/>
      <w:r>
        <w:t xml:space="preserve">Wykres </w:t>
      </w:r>
      <w:r w:rsidR="00172343">
        <w:fldChar w:fldCharType="begin"/>
      </w:r>
      <w:r w:rsidR="00172343">
        <w:instrText xml:space="preserve"> SEQ Wykres \* ARABIC </w:instrText>
      </w:r>
      <w:r w:rsidR="00172343">
        <w:fldChar w:fldCharType="separate"/>
      </w:r>
      <w:r>
        <w:rPr>
          <w:noProof/>
        </w:rPr>
        <w:t>18</w:t>
      </w:r>
      <w:r w:rsidR="00172343">
        <w:rPr>
          <w:noProof/>
        </w:rPr>
        <w:fldChar w:fldCharType="end"/>
      </w:r>
      <w:r>
        <w:t xml:space="preserve"> Podmioty gospodarki narodowej zarejestrowane na terenie gminy Tryńcza w latach 2010-2017</w:t>
      </w:r>
      <w:bookmarkEnd w:id="72"/>
    </w:p>
    <w:p w:rsidR="00A57C08" w:rsidRDefault="00A57C08" w:rsidP="00A57C08">
      <w:pPr>
        <w:pStyle w:val="Legenda"/>
      </w:pPr>
      <w:r>
        <w:rPr>
          <w:noProof/>
          <w:lang w:eastAsia="pl-PL"/>
        </w:rPr>
        <w:drawing>
          <wp:inline distT="0" distB="0" distL="0" distR="0" wp14:anchorId="4DE06252" wp14:editId="3428C56C">
            <wp:extent cx="5638800" cy="1990725"/>
            <wp:effectExtent l="0" t="0" r="19050" b="9525"/>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A57C08">
        <w:t xml:space="preserve"> </w:t>
      </w:r>
      <w:r>
        <w:t>Źródło: Opracowanie własne na podstawie danych na podstawie danych GUS – przekroje terytorialne BDL</w:t>
      </w:r>
    </w:p>
    <w:p w:rsidR="00A57C08" w:rsidRDefault="00A57C08" w:rsidP="00CC50BF">
      <w:pPr>
        <w:ind w:firstLine="708"/>
        <w:jc w:val="both"/>
      </w:pPr>
      <w:r>
        <w:t xml:space="preserve">Najliczniejszą grupę przedsiębiorstw stanowią </w:t>
      </w:r>
      <w:r w:rsidR="00CC50BF">
        <w:t>przedsiębiorstwa sekcji G (handel hurtowy i detaliczny), sekcji F (budownictwo) sekcji C (przetwórstwo przemysłowe) oraz  sekcji H (transport i gospodarka magazynowa) oraz sekcji SiT (pozostała działalność usługowa i gospodarstwa domowe zatrudniające pracowników oraz gospodarstwa domowe produkujące wyroby i świadczące usługi na własne potrzeby.</w:t>
      </w:r>
    </w:p>
    <w:p w:rsidR="00DD2B32" w:rsidRDefault="00DD2B32" w:rsidP="00CC50BF">
      <w:pPr>
        <w:ind w:firstLine="708"/>
        <w:jc w:val="both"/>
      </w:pPr>
    </w:p>
    <w:p w:rsidR="00DD2B32" w:rsidRDefault="00DD2B32" w:rsidP="00CC50BF">
      <w:pPr>
        <w:ind w:firstLine="708"/>
        <w:jc w:val="both"/>
      </w:pPr>
    </w:p>
    <w:p w:rsidR="00DD2B32" w:rsidRDefault="00DD2B32" w:rsidP="00CC50BF">
      <w:pPr>
        <w:ind w:firstLine="708"/>
        <w:jc w:val="both"/>
      </w:pPr>
    </w:p>
    <w:p w:rsidR="00A57C08" w:rsidRDefault="00A57C08" w:rsidP="00A57C08">
      <w:pPr>
        <w:pStyle w:val="Legenda"/>
      </w:pPr>
      <w:bookmarkStart w:id="73" w:name="_Toc495887833"/>
      <w:r>
        <w:t xml:space="preserve">Wykres </w:t>
      </w:r>
      <w:r w:rsidR="00172343">
        <w:fldChar w:fldCharType="begin"/>
      </w:r>
      <w:r w:rsidR="00172343">
        <w:instrText xml:space="preserve"> SEQ Wykres \* ARABIC </w:instrText>
      </w:r>
      <w:r w:rsidR="00172343">
        <w:fldChar w:fldCharType="separate"/>
      </w:r>
      <w:r>
        <w:rPr>
          <w:noProof/>
        </w:rPr>
        <w:t>19</w:t>
      </w:r>
      <w:r w:rsidR="00172343">
        <w:rPr>
          <w:noProof/>
        </w:rPr>
        <w:fldChar w:fldCharType="end"/>
      </w:r>
      <w:r>
        <w:t xml:space="preserve"> Podmioty gospodarki narodowej na terenie gminy Tryńcza w podziale na sekcje PKD – dane za rok 2016</w:t>
      </w:r>
      <w:bookmarkEnd w:id="73"/>
    </w:p>
    <w:p w:rsidR="00481877" w:rsidRDefault="00A57C08" w:rsidP="00A57C08">
      <w:pPr>
        <w:pStyle w:val="Legenda"/>
      </w:pPr>
      <w:r>
        <w:rPr>
          <w:noProof/>
          <w:lang w:eastAsia="pl-PL"/>
        </w:rPr>
        <w:drawing>
          <wp:inline distT="0" distB="0" distL="0" distR="0" wp14:anchorId="1B2A8DB6" wp14:editId="4A8B51EA">
            <wp:extent cx="5760720" cy="3281516"/>
            <wp:effectExtent l="0" t="0" r="11430" b="14605"/>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t>Źródło: Opracowanie własne na podstawie danych na podstawie danych GUS – przekroje terytorialne BDL</w:t>
      </w:r>
    </w:p>
    <w:p w:rsidR="00A57C08" w:rsidRDefault="00CC50BF" w:rsidP="00CC50BF">
      <w:pPr>
        <w:ind w:firstLine="708"/>
        <w:jc w:val="both"/>
      </w:pPr>
      <w:r w:rsidRPr="00CC50BF">
        <w:t>Na terenie gminy nie występują przedsiębiorstwa sekcji D (</w:t>
      </w:r>
      <w:bookmarkStart w:id="74" w:name="sekcja"/>
      <w:r w:rsidRPr="00CC50BF">
        <w:t>wytwarzanie i zaopatrywanie w energię elektryczną, gaz, parę wodną, gorącą wodę i powietrze do układów klimatyzacyjnych</w:t>
      </w:r>
      <w:bookmarkEnd w:id="74"/>
      <w:r>
        <w:t xml:space="preserve"> ) i U (organizacje i zespoły eksterytorialne).</w:t>
      </w:r>
    </w:p>
    <w:p w:rsidR="00CC50BF" w:rsidRDefault="00CC50BF" w:rsidP="00CC50BF">
      <w:pPr>
        <w:ind w:firstLine="708"/>
        <w:jc w:val="both"/>
      </w:pPr>
      <w:r w:rsidRPr="00CC50BF">
        <w:rPr>
          <w:b/>
        </w:rPr>
        <w:t xml:space="preserve">Na terenie gminy przedsiębiorczość jest słabo rozwinięta. </w:t>
      </w:r>
      <w:r>
        <w:t>Dysproporcje pomiędzy gminą, powiatem a województwem przedstawiono w tabeli poniżej.</w:t>
      </w:r>
    </w:p>
    <w:p w:rsidR="00CC50BF" w:rsidRDefault="00CC50BF" w:rsidP="00CC50BF">
      <w:pPr>
        <w:pStyle w:val="Legenda"/>
      </w:pPr>
      <w:bookmarkStart w:id="75" w:name="_Toc495887803"/>
      <w:r>
        <w:t xml:space="preserve">Tabela </w:t>
      </w:r>
      <w:r w:rsidR="00172343">
        <w:fldChar w:fldCharType="begin"/>
      </w:r>
      <w:r w:rsidR="00172343">
        <w:instrText xml:space="preserve"> SEQ Tabela \* ARABIC </w:instrText>
      </w:r>
      <w:r w:rsidR="00172343">
        <w:fldChar w:fldCharType="separate"/>
      </w:r>
      <w:r w:rsidR="00D67FEC">
        <w:rPr>
          <w:noProof/>
        </w:rPr>
        <w:t>14</w:t>
      </w:r>
      <w:r w:rsidR="00172343">
        <w:rPr>
          <w:noProof/>
        </w:rPr>
        <w:fldChar w:fldCharType="end"/>
      </w:r>
      <w:r>
        <w:t xml:space="preserve"> Podmioty gospodarki narodowej wskaźniki</w:t>
      </w:r>
      <w:bookmarkEnd w:id="75"/>
    </w:p>
    <w:tbl>
      <w:tblPr>
        <w:tblStyle w:val="Tabelasiatki5ciemnaakcent32"/>
        <w:tblW w:w="9374" w:type="dxa"/>
        <w:tblLook w:val="04A0" w:firstRow="1" w:lastRow="0" w:firstColumn="1" w:lastColumn="0" w:noHBand="0" w:noVBand="1"/>
      </w:tblPr>
      <w:tblGrid>
        <w:gridCol w:w="3134"/>
        <w:gridCol w:w="1220"/>
        <w:gridCol w:w="1180"/>
        <w:gridCol w:w="960"/>
        <w:gridCol w:w="960"/>
        <w:gridCol w:w="960"/>
        <w:gridCol w:w="960"/>
      </w:tblGrid>
      <w:tr w:rsidR="00CC50BF" w:rsidRPr="00983DF1" w:rsidTr="00D74DF2">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34" w:type="dxa"/>
            <w:noWrap/>
            <w:hideMark/>
          </w:tcPr>
          <w:p w:rsidR="00CC50BF" w:rsidRPr="00983DF1" w:rsidRDefault="00CC50BF" w:rsidP="00983DF1">
            <w:pPr>
              <w:rPr>
                <w:rFonts w:asciiTheme="minorHAnsi" w:hAnsiTheme="minorHAnsi" w:cstheme="minorHAnsi"/>
              </w:rPr>
            </w:pPr>
          </w:p>
        </w:tc>
        <w:tc>
          <w:tcPr>
            <w:tcW w:w="2400" w:type="dxa"/>
            <w:gridSpan w:val="2"/>
            <w:noWrap/>
            <w:hideMark/>
          </w:tcPr>
          <w:p w:rsidR="00CC50BF" w:rsidRPr="00983DF1" w:rsidRDefault="00CC50BF" w:rsidP="00983DF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Gmina Tryńcza</w:t>
            </w:r>
          </w:p>
        </w:tc>
        <w:tc>
          <w:tcPr>
            <w:tcW w:w="1920" w:type="dxa"/>
            <w:gridSpan w:val="2"/>
            <w:noWrap/>
            <w:hideMark/>
          </w:tcPr>
          <w:p w:rsidR="00CC50BF" w:rsidRPr="00983DF1" w:rsidRDefault="00CC50BF" w:rsidP="00983DF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Powiat przeworski</w:t>
            </w:r>
          </w:p>
        </w:tc>
        <w:tc>
          <w:tcPr>
            <w:tcW w:w="1920" w:type="dxa"/>
            <w:gridSpan w:val="2"/>
            <w:noWrap/>
            <w:hideMark/>
          </w:tcPr>
          <w:p w:rsidR="00CC50BF" w:rsidRPr="00983DF1" w:rsidRDefault="00CC50BF" w:rsidP="00983DF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Województwo podkarpackie</w:t>
            </w:r>
          </w:p>
        </w:tc>
      </w:tr>
      <w:tr w:rsidR="00983DF1" w:rsidRPr="00983DF1" w:rsidTr="00D74D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4" w:type="dxa"/>
            <w:noWrap/>
            <w:hideMark/>
          </w:tcPr>
          <w:p w:rsidR="00CC50BF" w:rsidRPr="00983DF1" w:rsidRDefault="00CC50BF" w:rsidP="00983DF1">
            <w:pPr>
              <w:rPr>
                <w:rFonts w:asciiTheme="minorHAnsi" w:hAnsiTheme="minorHAnsi" w:cstheme="minorHAnsi"/>
              </w:rPr>
            </w:pPr>
          </w:p>
        </w:tc>
        <w:tc>
          <w:tcPr>
            <w:tcW w:w="1220" w:type="dxa"/>
            <w:noWrap/>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2014</w:t>
            </w:r>
          </w:p>
        </w:tc>
        <w:tc>
          <w:tcPr>
            <w:tcW w:w="1180" w:type="dxa"/>
            <w:noWrap/>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2016</w:t>
            </w:r>
          </w:p>
        </w:tc>
        <w:tc>
          <w:tcPr>
            <w:tcW w:w="960" w:type="dxa"/>
            <w:noWrap/>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2014</w:t>
            </w:r>
          </w:p>
        </w:tc>
        <w:tc>
          <w:tcPr>
            <w:tcW w:w="960" w:type="dxa"/>
            <w:noWrap/>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2016</w:t>
            </w:r>
          </w:p>
        </w:tc>
        <w:tc>
          <w:tcPr>
            <w:tcW w:w="960" w:type="dxa"/>
            <w:noWrap/>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2014</w:t>
            </w:r>
          </w:p>
        </w:tc>
        <w:tc>
          <w:tcPr>
            <w:tcW w:w="960" w:type="dxa"/>
            <w:noWrap/>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2016</w:t>
            </w:r>
          </w:p>
        </w:tc>
      </w:tr>
      <w:tr w:rsidR="00CC50BF" w:rsidRPr="00983DF1" w:rsidTr="00D74DF2">
        <w:trPr>
          <w:trHeight w:val="420"/>
        </w:trPr>
        <w:tc>
          <w:tcPr>
            <w:cnfStyle w:val="001000000000" w:firstRow="0" w:lastRow="0" w:firstColumn="1" w:lastColumn="0" w:oddVBand="0" w:evenVBand="0" w:oddHBand="0" w:evenHBand="0" w:firstRowFirstColumn="0" w:firstRowLastColumn="0" w:lastRowFirstColumn="0" w:lastRowLastColumn="0"/>
            <w:tcW w:w="3134" w:type="dxa"/>
            <w:hideMark/>
          </w:tcPr>
          <w:p w:rsidR="00CC50BF" w:rsidRPr="00983DF1" w:rsidRDefault="00CC50BF" w:rsidP="00983DF1">
            <w:pPr>
              <w:rPr>
                <w:rFonts w:asciiTheme="minorHAnsi" w:hAnsiTheme="minorHAnsi" w:cstheme="minorHAnsi"/>
              </w:rPr>
            </w:pPr>
            <w:r w:rsidRPr="00983DF1">
              <w:rPr>
                <w:rFonts w:asciiTheme="minorHAnsi" w:hAnsiTheme="minorHAnsi" w:cstheme="minorHAnsi"/>
              </w:rPr>
              <w:t>podmioty wpisane do rejestru REGON na 10 tys. ludności</w:t>
            </w:r>
          </w:p>
        </w:tc>
        <w:tc>
          <w:tcPr>
            <w:tcW w:w="122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442</w:t>
            </w:r>
          </w:p>
        </w:tc>
        <w:tc>
          <w:tcPr>
            <w:tcW w:w="118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513</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564</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598</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763</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788</w:t>
            </w:r>
          </w:p>
        </w:tc>
      </w:tr>
      <w:tr w:rsidR="00CC50BF" w:rsidRPr="00983DF1" w:rsidTr="00D74DF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34" w:type="dxa"/>
            <w:hideMark/>
          </w:tcPr>
          <w:p w:rsidR="00CC50BF" w:rsidRPr="00983DF1" w:rsidRDefault="00CC50BF" w:rsidP="00983DF1">
            <w:pPr>
              <w:rPr>
                <w:rFonts w:asciiTheme="minorHAnsi" w:hAnsiTheme="minorHAnsi" w:cstheme="minorHAnsi"/>
              </w:rPr>
            </w:pPr>
            <w:r w:rsidRPr="00983DF1">
              <w:rPr>
                <w:rFonts w:asciiTheme="minorHAnsi" w:hAnsiTheme="minorHAnsi" w:cstheme="minorHAnsi"/>
              </w:rPr>
              <w:t>jednostki nowo zarejestrowane w rejestrze REGON na 10 tys. ludności</w:t>
            </w:r>
          </w:p>
        </w:tc>
        <w:tc>
          <w:tcPr>
            <w:tcW w:w="122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53</w:t>
            </w:r>
          </w:p>
        </w:tc>
        <w:tc>
          <w:tcPr>
            <w:tcW w:w="118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71</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54</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56</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70</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67</w:t>
            </w:r>
          </w:p>
        </w:tc>
      </w:tr>
      <w:tr w:rsidR="00CC50BF" w:rsidRPr="00983DF1" w:rsidTr="00D74DF2">
        <w:trPr>
          <w:trHeight w:val="420"/>
        </w:trPr>
        <w:tc>
          <w:tcPr>
            <w:cnfStyle w:val="001000000000" w:firstRow="0" w:lastRow="0" w:firstColumn="1" w:lastColumn="0" w:oddVBand="0" w:evenVBand="0" w:oddHBand="0" w:evenHBand="0" w:firstRowFirstColumn="0" w:firstRowLastColumn="0" w:lastRowFirstColumn="0" w:lastRowLastColumn="0"/>
            <w:tcW w:w="3134" w:type="dxa"/>
            <w:hideMark/>
          </w:tcPr>
          <w:p w:rsidR="00CC50BF" w:rsidRPr="00983DF1" w:rsidRDefault="00CC50BF" w:rsidP="00983DF1">
            <w:pPr>
              <w:rPr>
                <w:rFonts w:asciiTheme="minorHAnsi" w:hAnsiTheme="minorHAnsi" w:cstheme="minorHAnsi"/>
              </w:rPr>
            </w:pPr>
            <w:r w:rsidRPr="00983DF1">
              <w:rPr>
                <w:rFonts w:asciiTheme="minorHAnsi" w:hAnsiTheme="minorHAnsi" w:cstheme="minorHAnsi"/>
              </w:rPr>
              <w:t>jednostki wykreślone z rejestru REGON na 10 tys. ludności</w:t>
            </w:r>
          </w:p>
        </w:tc>
        <w:tc>
          <w:tcPr>
            <w:tcW w:w="122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30</w:t>
            </w:r>
          </w:p>
        </w:tc>
        <w:tc>
          <w:tcPr>
            <w:tcW w:w="118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45</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43</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44</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54</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53</w:t>
            </w:r>
          </w:p>
        </w:tc>
      </w:tr>
      <w:tr w:rsidR="00CC50BF" w:rsidRPr="00983DF1" w:rsidTr="00D74D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4" w:type="dxa"/>
            <w:hideMark/>
          </w:tcPr>
          <w:p w:rsidR="00CC50BF" w:rsidRPr="00983DF1" w:rsidRDefault="00CC50BF" w:rsidP="00983DF1">
            <w:pPr>
              <w:rPr>
                <w:rFonts w:asciiTheme="minorHAnsi" w:hAnsiTheme="minorHAnsi" w:cstheme="minorHAnsi"/>
              </w:rPr>
            </w:pPr>
            <w:r w:rsidRPr="00983DF1">
              <w:rPr>
                <w:rFonts w:asciiTheme="minorHAnsi" w:hAnsiTheme="minorHAnsi" w:cstheme="minorHAnsi"/>
              </w:rPr>
              <w:t>podmioty wpisane do rejestru na 1000 ludności</w:t>
            </w:r>
          </w:p>
        </w:tc>
        <w:tc>
          <w:tcPr>
            <w:tcW w:w="122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44</w:t>
            </w:r>
          </w:p>
        </w:tc>
        <w:tc>
          <w:tcPr>
            <w:tcW w:w="118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51</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56</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60</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76</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79</w:t>
            </w:r>
          </w:p>
        </w:tc>
      </w:tr>
      <w:tr w:rsidR="00CC50BF" w:rsidRPr="00983DF1" w:rsidTr="00D74DF2">
        <w:trPr>
          <w:trHeight w:val="420"/>
        </w:trPr>
        <w:tc>
          <w:tcPr>
            <w:cnfStyle w:val="001000000000" w:firstRow="0" w:lastRow="0" w:firstColumn="1" w:lastColumn="0" w:oddVBand="0" w:evenVBand="0" w:oddHBand="0" w:evenHBand="0" w:firstRowFirstColumn="0" w:firstRowLastColumn="0" w:lastRowFirstColumn="0" w:lastRowLastColumn="0"/>
            <w:tcW w:w="3134" w:type="dxa"/>
            <w:hideMark/>
          </w:tcPr>
          <w:p w:rsidR="00CC50BF" w:rsidRPr="00983DF1" w:rsidRDefault="00CC50BF" w:rsidP="00983DF1">
            <w:pPr>
              <w:rPr>
                <w:rFonts w:asciiTheme="minorHAnsi" w:hAnsiTheme="minorHAnsi" w:cstheme="minorHAnsi"/>
              </w:rPr>
            </w:pPr>
            <w:r w:rsidRPr="00983DF1">
              <w:rPr>
                <w:rFonts w:asciiTheme="minorHAnsi" w:hAnsiTheme="minorHAnsi" w:cstheme="minorHAnsi"/>
              </w:rPr>
              <w:t xml:space="preserve"> podmioty na 1000 mieszkańców w wieku produkcyjnym</w:t>
            </w:r>
          </w:p>
        </w:tc>
        <w:tc>
          <w:tcPr>
            <w:tcW w:w="122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70,5</w:t>
            </w:r>
          </w:p>
        </w:tc>
        <w:tc>
          <w:tcPr>
            <w:tcW w:w="118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81,3</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89,7</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95,3</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120,3</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125,4</w:t>
            </w:r>
          </w:p>
        </w:tc>
      </w:tr>
      <w:tr w:rsidR="00CC50BF" w:rsidRPr="00983DF1" w:rsidTr="00D74DF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34" w:type="dxa"/>
            <w:hideMark/>
          </w:tcPr>
          <w:p w:rsidR="00CC50BF" w:rsidRPr="00983DF1" w:rsidRDefault="00CC50BF" w:rsidP="00983DF1">
            <w:pPr>
              <w:rPr>
                <w:rFonts w:asciiTheme="minorHAnsi" w:hAnsiTheme="minorHAnsi" w:cstheme="minorHAnsi"/>
              </w:rPr>
            </w:pPr>
            <w:r w:rsidRPr="00983DF1">
              <w:rPr>
                <w:rFonts w:asciiTheme="minorHAnsi" w:hAnsiTheme="minorHAnsi" w:cstheme="minorHAnsi"/>
              </w:rPr>
              <w:t>osoby fizyczne prowadzące działalność gospodarczą na 1000 ludności</w:t>
            </w:r>
          </w:p>
        </w:tc>
        <w:tc>
          <w:tcPr>
            <w:tcW w:w="122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35</w:t>
            </w:r>
          </w:p>
        </w:tc>
        <w:tc>
          <w:tcPr>
            <w:tcW w:w="118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41</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43</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46</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57</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58</w:t>
            </w:r>
          </w:p>
        </w:tc>
      </w:tr>
      <w:tr w:rsidR="00CC50BF" w:rsidRPr="00983DF1" w:rsidTr="00D74DF2">
        <w:trPr>
          <w:trHeight w:val="420"/>
        </w:trPr>
        <w:tc>
          <w:tcPr>
            <w:cnfStyle w:val="001000000000" w:firstRow="0" w:lastRow="0" w:firstColumn="1" w:lastColumn="0" w:oddVBand="0" w:evenVBand="0" w:oddHBand="0" w:evenHBand="0" w:firstRowFirstColumn="0" w:firstRowLastColumn="0" w:lastRowFirstColumn="0" w:lastRowLastColumn="0"/>
            <w:tcW w:w="3134" w:type="dxa"/>
            <w:hideMark/>
          </w:tcPr>
          <w:p w:rsidR="00CC50BF" w:rsidRPr="00983DF1" w:rsidRDefault="00CC50BF" w:rsidP="00983DF1">
            <w:pPr>
              <w:rPr>
                <w:rFonts w:asciiTheme="minorHAnsi" w:hAnsiTheme="minorHAnsi" w:cstheme="minorHAnsi"/>
              </w:rPr>
            </w:pPr>
            <w:r w:rsidRPr="00983DF1">
              <w:rPr>
                <w:rFonts w:asciiTheme="minorHAnsi" w:hAnsiTheme="minorHAnsi" w:cstheme="minorHAnsi"/>
              </w:rPr>
              <w:t>osoby fizyczne prowadzące działalność gospodarczą na 100 osób w wieku produkcyjnym</w:t>
            </w:r>
          </w:p>
        </w:tc>
        <w:tc>
          <w:tcPr>
            <w:tcW w:w="122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5,6</w:t>
            </w:r>
          </w:p>
        </w:tc>
        <w:tc>
          <w:tcPr>
            <w:tcW w:w="118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6,5</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6,8</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7,3</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9,0</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9,2</w:t>
            </w:r>
          </w:p>
        </w:tc>
      </w:tr>
      <w:tr w:rsidR="00CC50BF" w:rsidRPr="00983DF1" w:rsidTr="00D74DF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34" w:type="dxa"/>
            <w:hideMark/>
          </w:tcPr>
          <w:p w:rsidR="00CC50BF" w:rsidRPr="00983DF1" w:rsidRDefault="00CC50BF" w:rsidP="00983DF1">
            <w:pPr>
              <w:rPr>
                <w:rFonts w:asciiTheme="minorHAnsi" w:hAnsiTheme="minorHAnsi" w:cstheme="minorHAnsi"/>
              </w:rPr>
            </w:pPr>
            <w:r w:rsidRPr="00983DF1">
              <w:rPr>
                <w:rFonts w:asciiTheme="minorHAnsi" w:hAnsiTheme="minorHAnsi" w:cstheme="minorHAnsi"/>
              </w:rPr>
              <w:lastRenderedPageBreak/>
              <w:t xml:space="preserve"> fundacje, stowarzyszenia i organizacje społeczne na 1000 mieszkańców</w:t>
            </w:r>
          </w:p>
        </w:tc>
        <w:tc>
          <w:tcPr>
            <w:tcW w:w="122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2,39</w:t>
            </w:r>
          </w:p>
        </w:tc>
        <w:tc>
          <w:tcPr>
            <w:tcW w:w="118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2,49</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2,73</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3,00</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3,25</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3,58</w:t>
            </w:r>
          </w:p>
        </w:tc>
      </w:tr>
      <w:tr w:rsidR="00CC50BF" w:rsidRPr="00983DF1" w:rsidTr="00D74DF2">
        <w:trPr>
          <w:trHeight w:val="420"/>
        </w:trPr>
        <w:tc>
          <w:tcPr>
            <w:cnfStyle w:val="001000000000" w:firstRow="0" w:lastRow="0" w:firstColumn="1" w:lastColumn="0" w:oddVBand="0" w:evenVBand="0" w:oddHBand="0" w:evenHBand="0" w:firstRowFirstColumn="0" w:firstRowLastColumn="0" w:lastRowFirstColumn="0" w:lastRowLastColumn="0"/>
            <w:tcW w:w="3134" w:type="dxa"/>
            <w:hideMark/>
          </w:tcPr>
          <w:p w:rsidR="00CC50BF" w:rsidRPr="00983DF1" w:rsidRDefault="00CC50BF" w:rsidP="00983DF1">
            <w:pPr>
              <w:rPr>
                <w:rFonts w:asciiTheme="minorHAnsi" w:hAnsiTheme="minorHAnsi" w:cstheme="minorHAnsi"/>
              </w:rPr>
            </w:pPr>
            <w:r w:rsidRPr="00983DF1">
              <w:rPr>
                <w:rFonts w:asciiTheme="minorHAnsi" w:hAnsiTheme="minorHAnsi" w:cstheme="minorHAnsi"/>
              </w:rPr>
              <w:t>fundacje, stowarzyszenia i organizacje społeczne na 10 tys. mieszkańców</w:t>
            </w:r>
          </w:p>
        </w:tc>
        <w:tc>
          <w:tcPr>
            <w:tcW w:w="122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24</w:t>
            </w:r>
          </w:p>
        </w:tc>
        <w:tc>
          <w:tcPr>
            <w:tcW w:w="118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25</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27</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30</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33</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36</w:t>
            </w:r>
          </w:p>
        </w:tc>
      </w:tr>
      <w:tr w:rsidR="00CC50BF" w:rsidRPr="00983DF1" w:rsidTr="00D74DF2">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134" w:type="dxa"/>
            <w:hideMark/>
          </w:tcPr>
          <w:p w:rsidR="00CC50BF" w:rsidRPr="00983DF1" w:rsidRDefault="00CC50BF" w:rsidP="00983DF1">
            <w:pPr>
              <w:rPr>
                <w:rFonts w:asciiTheme="minorHAnsi" w:hAnsiTheme="minorHAnsi" w:cstheme="minorHAnsi"/>
              </w:rPr>
            </w:pPr>
            <w:r w:rsidRPr="00983DF1">
              <w:rPr>
                <w:rFonts w:asciiTheme="minorHAnsi" w:hAnsiTheme="minorHAnsi" w:cstheme="minorHAnsi"/>
              </w:rPr>
              <w:t>nowo zarejestrowane fundacje, stowarzyszenia, organizacje społeczne na 10 tys. mieszkańców</w:t>
            </w:r>
          </w:p>
        </w:tc>
        <w:tc>
          <w:tcPr>
            <w:tcW w:w="122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1</w:t>
            </w:r>
          </w:p>
        </w:tc>
        <w:tc>
          <w:tcPr>
            <w:tcW w:w="118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0</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1</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1</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1</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2</w:t>
            </w:r>
          </w:p>
        </w:tc>
      </w:tr>
      <w:tr w:rsidR="00CC50BF" w:rsidRPr="00983DF1" w:rsidTr="00D74DF2">
        <w:trPr>
          <w:trHeight w:val="420"/>
        </w:trPr>
        <w:tc>
          <w:tcPr>
            <w:cnfStyle w:val="001000000000" w:firstRow="0" w:lastRow="0" w:firstColumn="1" w:lastColumn="0" w:oddVBand="0" w:evenVBand="0" w:oddHBand="0" w:evenHBand="0" w:firstRowFirstColumn="0" w:firstRowLastColumn="0" w:lastRowFirstColumn="0" w:lastRowLastColumn="0"/>
            <w:tcW w:w="3134" w:type="dxa"/>
            <w:hideMark/>
          </w:tcPr>
          <w:p w:rsidR="00CC50BF" w:rsidRPr="00983DF1" w:rsidRDefault="00CC50BF" w:rsidP="00983DF1">
            <w:pPr>
              <w:rPr>
                <w:rFonts w:asciiTheme="minorHAnsi" w:hAnsiTheme="minorHAnsi" w:cstheme="minorHAnsi"/>
              </w:rPr>
            </w:pPr>
            <w:r w:rsidRPr="00983DF1">
              <w:rPr>
                <w:rFonts w:asciiTheme="minorHAnsi" w:hAnsiTheme="minorHAnsi" w:cstheme="minorHAnsi"/>
              </w:rPr>
              <w:t>podmioty nowo zarejestrowane na 10 tys. ludności w wieku produkcyjnym</w:t>
            </w:r>
          </w:p>
        </w:tc>
        <w:tc>
          <w:tcPr>
            <w:tcW w:w="122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84</w:t>
            </w:r>
          </w:p>
        </w:tc>
        <w:tc>
          <w:tcPr>
            <w:tcW w:w="118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113</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86</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89</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110</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107</w:t>
            </w:r>
          </w:p>
        </w:tc>
      </w:tr>
      <w:tr w:rsidR="00CC50BF" w:rsidRPr="00983DF1" w:rsidTr="00D74DF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34" w:type="dxa"/>
            <w:hideMark/>
          </w:tcPr>
          <w:p w:rsidR="00CC50BF" w:rsidRPr="00983DF1" w:rsidRDefault="00CC50BF" w:rsidP="00983DF1">
            <w:pPr>
              <w:rPr>
                <w:rFonts w:asciiTheme="minorHAnsi" w:hAnsiTheme="minorHAnsi" w:cstheme="minorHAnsi"/>
              </w:rPr>
            </w:pPr>
            <w:r w:rsidRPr="00983DF1">
              <w:rPr>
                <w:rFonts w:asciiTheme="minorHAnsi" w:hAnsiTheme="minorHAnsi" w:cstheme="minorHAnsi"/>
              </w:rPr>
              <w:t>udział podmiotów wyrejestrowanych w ogólnej liczbie podmiotów wpisanych do rejestru REGON</w:t>
            </w:r>
          </w:p>
        </w:tc>
        <w:tc>
          <w:tcPr>
            <w:tcW w:w="122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6,8</w:t>
            </w:r>
          </w:p>
        </w:tc>
        <w:tc>
          <w:tcPr>
            <w:tcW w:w="118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8,8</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7,7</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7,3</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7,1</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6,8</w:t>
            </w:r>
          </w:p>
        </w:tc>
      </w:tr>
      <w:tr w:rsidR="00CC50BF" w:rsidRPr="00983DF1" w:rsidTr="00D74DF2">
        <w:trPr>
          <w:trHeight w:val="630"/>
        </w:trPr>
        <w:tc>
          <w:tcPr>
            <w:cnfStyle w:val="001000000000" w:firstRow="0" w:lastRow="0" w:firstColumn="1" w:lastColumn="0" w:oddVBand="0" w:evenVBand="0" w:oddHBand="0" w:evenHBand="0" w:firstRowFirstColumn="0" w:firstRowLastColumn="0" w:lastRowFirstColumn="0" w:lastRowLastColumn="0"/>
            <w:tcW w:w="3134" w:type="dxa"/>
            <w:hideMark/>
          </w:tcPr>
          <w:p w:rsidR="00CC50BF" w:rsidRPr="00983DF1" w:rsidRDefault="00CC50BF" w:rsidP="00983DF1">
            <w:pPr>
              <w:rPr>
                <w:rFonts w:asciiTheme="minorHAnsi" w:hAnsiTheme="minorHAnsi" w:cstheme="minorHAnsi"/>
              </w:rPr>
            </w:pPr>
            <w:r w:rsidRPr="00983DF1">
              <w:rPr>
                <w:rFonts w:asciiTheme="minorHAnsi" w:hAnsiTheme="minorHAnsi" w:cstheme="minorHAnsi"/>
              </w:rPr>
              <w:t>udział nowo zarejestrowanych podmiotów sektora medycznego w liczbie nowo zarejestrowanych podmiotów ogółem</w:t>
            </w:r>
          </w:p>
        </w:tc>
        <w:tc>
          <w:tcPr>
            <w:tcW w:w="122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2,27</w:t>
            </w:r>
          </w:p>
        </w:tc>
        <w:tc>
          <w:tcPr>
            <w:tcW w:w="118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10,00</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3,29</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4,75</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3,64</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4,38</w:t>
            </w:r>
          </w:p>
        </w:tc>
      </w:tr>
      <w:tr w:rsidR="00CC50BF" w:rsidRPr="00983DF1" w:rsidTr="00D74DF2">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134" w:type="dxa"/>
            <w:hideMark/>
          </w:tcPr>
          <w:p w:rsidR="00CC50BF" w:rsidRPr="00983DF1" w:rsidRDefault="00CC50BF" w:rsidP="00983DF1">
            <w:pPr>
              <w:rPr>
                <w:rFonts w:asciiTheme="minorHAnsi" w:hAnsiTheme="minorHAnsi" w:cstheme="minorHAnsi"/>
              </w:rPr>
            </w:pPr>
            <w:r w:rsidRPr="00983DF1">
              <w:rPr>
                <w:rFonts w:asciiTheme="minorHAnsi" w:hAnsiTheme="minorHAnsi" w:cstheme="minorHAnsi"/>
              </w:rPr>
              <w:t>udział nowo zarejestrowanych podmiotów sektora kreatywnego w liczbie nowo zarejestrowanych podmiotów ogółem</w:t>
            </w:r>
          </w:p>
        </w:tc>
        <w:tc>
          <w:tcPr>
            <w:tcW w:w="122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4,55</w:t>
            </w:r>
          </w:p>
        </w:tc>
        <w:tc>
          <w:tcPr>
            <w:tcW w:w="118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3,33</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5,18</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2,49</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6,67</w:t>
            </w:r>
          </w:p>
        </w:tc>
        <w:tc>
          <w:tcPr>
            <w:tcW w:w="960" w:type="dxa"/>
            <w:hideMark/>
          </w:tcPr>
          <w:p w:rsidR="00CC50BF" w:rsidRPr="00983DF1" w:rsidRDefault="00CC50BF" w:rsidP="00983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6,18</w:t>
            </w:r>
          </w:p>
        </w:tc>
      </w:tr>
      <w:tr w:rsidR="00CC50BF" w:rsidRPr="00983DF1" w:rsidTr="00D74DF2">
        <w:trPr>
          <w:trHeight w:val="840"/>
        </w:trPr>
        <w:tc>
          <w:tcPr>
            <w:cnfStyle w:val="001000000000" w:firstRow="0" w:lastRow="0" w:firstColumn="1" w:lastColumn="0" w:oddVBand="0" w:evenVBand="0" w:oddHBand="0" w:evenHBand="0" w:firstRowFirstColumn="0" w:firstRowLastColumn="0" w:lastRowFirstColumn="0" w:lastRowLastColumn="0"/>
            <w:tcW w:w="3134" w:type="dxa"/>
            <w:hideMark/>
          </w:tcPr>
          <w:p w:rsidR="00CC50BF" w:rsidRPr="00983DF1" w:rsidRDefault="00CC50BF" w:rsidP="00983DF1">
            <w:pPr>
              <w:rPr>
                <w:rFonts w:asciiTheme="minorHAnsi" w:hAnsiTheme="minorHAnsi" w:cstheme="minorHAnsi"/>
              </w:rPr>
            </w:pPr>
            <w:r w:rsidRPr="00983DF1">
              <w:rPr>
                <w:rFonts w:asciiTheme="minorHAnsi" w:hAnsiTheme="minorHAnsi" w:cstheme="minorHAnsi"/>
              </w:rPr>
              <w:t>udział nowo zarejestrowanych podmiotów sektora przetwórstwa rolno-spożywczego w ogólnej liczbie nowo zarejestrowanych podmiotów ogółem</w:t>
            </w:r>
          </w:p>
        </w:tc>
        <w:tc>
          <w:tcPr>
            <w:tcW w:w="122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2,27</w:t>
            </w:r>
          </w:p>
        </w:tc>
        <w:tc>
          <w:tcPr>
            <w:tcW w:w="118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0,00</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0,71</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0,68</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0,60</w:t>
            </w:r>
          </w:p>
        </w:tc>
        <w:tc>
          <w:tcPr>
            <w:tcW w:w="960" w:type="dxa"/>
            <w:hideMark/>
          </w:tcPr>
          <w:p w:rsidR="00CC50BF" w:rsidRPr="00983DF1" w:rsidRDefault="00CC50BF" w:rsidP="00983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83DF1">
              <w:rPr>
                <w:rFonts w:asciiTheme="minorHAnsi" w:hAnsiTheme="minorHAnsi" w:cstheme="minorHAnsi"/>
              </w:rPr>
              <w:t>0,43</w:t>
            </w:r>
          </w:p>
        </w:tc>
      </w:tr>
    </w:tbl>
    <w:p w:rsidR="00CC50BF" w:rsidRDefault="00983DF1" w:rsidP="00983DF1">
      <w:pPr>
        <w:pStyle w:val="Legenda"/>
      </w:pPr>
      <w:r>
        <w:t>Źródło: Opracowanie własne na podstawie danych na podstawie danych GUS – przekroje terytorialne BDL</w:t>
      </w:r>
    </w:p>
    <w:p w:rsidR="00983DF1" w:rsidRDefault="00983DF1" w:rsidP="00983DF1"/>
    <w:p w:rsidR="00B3390E" w:rsidRDefault="00B3390E" w:rsidP="00B3390E">
      <w:pPr>
        <w:pStyle w:val="Nagwek2"/>
      </w:pPr>
      <w:bookmarkStart w:id="76" w:name="_Toc496558075"/>
      <w:r>
        <w:t>Tereny inwestycyjne</w:t>
      </w:r>
      <w:bookmarkEnd w:id="76"/>
    </w:p>
    <w:p w:rsidR="00B3390E" w:rsidRPr="00B3390E" w:rsidRDefault="00B3390E" w:rsidP="00B3390E"/>
    <w:p w:rsidR="00B3390E" w:rsidRDefault="00B3390E" w:rsidP="00B3390E">
      <w:pPr>
        <w:jc w:val="both"/>
      </w:pPr>
      <w:r>
        <w:t>Na terenie Gminy Tryńcza wyznaczono 6 obszarów terenów inwestycyjnych:</w:t>
      </w:r>
    </w:p>
    <w:p w:rsidR="00B3390E" w:rsidRDefault="00B3390E" w:rsidP="00B3390E">
      <w:pPr>
        <w:jc w:val="both"/>
      </w:pPr>
      <w:r>
        <w:t>OBSZAR NR 1 miejscowość GNIEWCZYNA ŁAŃCUCKA</w:t>
      </w:r>
    </w:p>
    <w:p w:rsidR="00B3390E" w:rsidRDefault="00B3390E" w:rsidP="00B3390E">
      <w:pPr>
        <w:pStyle w:val="Bezodstpw"/>
        <w:spacing w:line="276" w:lineRule="auto"/>
        <w:jc w:val="both"/>
      </w:pPr>
      <w:r>
        <w:t>W studium uwarunkowań i kierunków zagospodarowania przestrzennego gminy Tryńcza w/w tereny przeznaczone sana cele inwestycyjne przemysłu i rzemiosła. Obszar ten podzielono na 3 warianty:</w:t>
      </w:r>
    </w:p>
    <w:p w:rsidR="00B3390E" w:rsidRDefault="00B3390E" w:rsidP="00B3390E">
      <w:pPr>
        <w:pStyle w:val="Bezodstpw"/>
        <w:spacing w:line="276" w:lineRule="auto"/>
        <w:jc w:val="both"/>
      </w:pPr>
      <w:r>
        <w:t>Wariant I Teren o pow. ok. 22 ha, w tym grunty stanowiące własność Gminy Tryńcza - 2.00 ha, pozostałe to grunty prywatnych właścicieli. Bonitacja gruntów przedstawia się następująco:</w:t>
      </w:r>
    </w:p>
    <w:p w:rsidR="00B3390E" w:rsidRDefault="00B3390E" w:rsidP="00B3390E">
      <w:pPr>
        <w:pStyle w:val="Bezodstpw"/>
        <w:spacing w:line="276" w:lineRule="auto"/>
        <w:jc w:val="both"/>
      </w:pPr>
      <w:r>
        <w:t xml:space="preserve">    ok. 30% gruntów klasy IV,</w:t>
      </w:r>
    </w:p>
    <w:p w:rsidR="00B3390E" w:rsidRDefault="00B3390E" w:rsidP="00B3390E">
      <w:pPr>
        <w:pStyle w:val="Bezodstpw"/>
        <w:spacing w:line="276" w:lineRule="auto"/>
        <w:jc w:val="both"/>
      </w:pPr>
      <w:r>
        <w:t xml:space="preserve">    ok. 60% gruntów klasy V,</w:t>
      </w:r>
    </w:p>
    <w:p w:rsidR="00B3390E" w:rsidRDefault="00B3390E" w:rsidP="00B3390E">
      <w:pPr>
        <w:pStyle w:val="Bezodstpw"/>
        <w:spacing w:line="276" w:lineRule="auto"/>
        <w:jc w:val="both"/>
      </w:pPr>
      <w:r>
        <w:t xml:space="preserve">    ok. 10% gruntów klasy VI,</w:t>
      </w:r>
    </w:p>
    <w:p w:rsidR="00B3390E" w:rsidRDefault="00B3390E" w:rsidP="00B3390E">
      <w:pPr>
        <w:pStyle w:val="Bezodstpw"/>
        <w:spacing w:line="276" w:lineRule="auto"/>
        <w:jc w:val="both"/>
      </w:pPr>
      <w:r>
        <w:t>Wariant II Teren o pow. ok. 12 ha, w tym grunty stanowiące własność Gminy Tryńcza - 5,64 ha; pozostałe to grunty właścicieli prywatnych. Bonitacja gruntów przedstawia się następująco:</w:t>
      </w:r>
    </w:p>
    <w:p w:rsidR="00B3390E" w:rsidRDefault="00B3390E" w:rsidP="00B3390E">
      <w:pPr>
        <w:pStyle w:val="Bezodstpw"/>
        <w:spacing w:line="276" w:lineRule="auto"/>
        <w:jc w:val="both"/>
      </w:pPr>
      <w:r>
        <w:t xml:space="preserve">    ok. 30% gruntów to grunty klasy IV;</w:t>
      </w:r>
    </w:p>
    <w:p w:rsidR="00B3390E" w:rsidRDefault="00B3390E" w:rsidP="00B3390E">
      <w:pPr>
        <w:pStyle w:val="Bezodstpw"/>
        <w:spacing w:line="276" w:lineRule="auto"/>
        <w:jc w:val="both"/>
      </w:pPr>
      <w:r>
        <w:t xml:space="preserve">    ok. 50% gruntów to grunty klasy V,</w:t>
      </w:r>
    </w:p>
    <w:p w:rsidR="00B3390E" w:rsidRDefault="00B3390E" w:rsidP="00B3390E">
      <w:pPr>
        <w:pStyle w:val="Bezodstpw"/>
        <w:spacing w:line="276" w:lineRule="auto"/>
        <w:jc w:val="both"/>
      </w:pPr>
      <w:r>
        <w:t xml:space="preserve">    ok. 20% gruntów to grunty klasy VI,</w:t>
      </w:r>
    </w:p>
    <w:p w:rsidR="00B3390E" w:rsidRDefault="00B3390E" w:rsidP="00B3390E">
      <w:pPr>
        <w:pStyle w:val="Bezodstpw"/>
        <w:spacing w:line="276" w:lineRule="auto"/>
        <w:jc w:val="both"/>
      </w:pPr>
      <w:r>
        <w:lastRenderedPageBreak/>
        <w:t>Wariant III Teren o pow. ok. 30 ha, w tym grunty stanowiące własność Gminy Tryńcza - 2.12 ha Pozostałe grunty to grunty właścicieli prywatnych, Bonitacja przedstawia się następująco:</w:t>
      </w:r>
    </w:p>
    <w:p w:rsidR="00B3390E" w:rsidRDefault="00B3390E" w:rsidP="00B3390E">
      <w:pPr>
        <w:pStyle w:val="Bezodstpw"/>
        <w:spacing w:line="276" w:lineRule="auto"/>
        <w:jc w:val="both"/>
      </w:pPr>
      <w:r>
        <w:t xml:space="preserve">    ok. 50% to grunty IV klasy,</w:t>
      </w:r>
    </w:p>
    <w:p w:rsidR="00B3390E" w:rsidRDefault="00B3390E" w:rsidP="00B3390E">
      <w:pPr>
        <w:pStyle w:val="Bezodstpw"/>
        <w:spacing w:line="276" w:lineRule="auto"/>
        <w:jc w:val="both"/>
      </w:pPr>
      <w:r>
        <w:t xml:space="preserve">    ok. 50% to grunty V klasy.</w:t>
      </w:r>
    </w:p>
    <w:p w:rsidR="00B3390E" w:rsidRDefault="00B3390E" w:rsidP="00B3390E">
      <w:pPr>
        <w:pStyle w:val="Bezodstpw"/>
        <w:spacing w:line="276" w:lineRule="auto"/>
        <w:jc w:val="both"/>
      </w:pPr>
    </w:p>
    <w:p w:rsidR="00B3390E" w:rsidRDefault="00B3390E" w:rsidP="00B3390E">
      <w:pPr>
        <w:jc w:val="both"/>
      </w:pPr>
      <w:r>
        <w:t>OBSZAR NR 2 miejscowość TRYŃCZA</w:t>
      </w:r>
    </w:p>
    <w:p w:rsidR="00B3390E" w:rsidRDefault="00B3390E" w:rsidP="00B3390E">
      <w:pPr>
        <w:jc w:val="both"/>
      </w:pPr>
      <w:r>
        <w:t>Na ten teren jest w opracowaniu Miejscowy Plan Zagospodarowania Przestrzennego Gminy Tryńcza. W/w tereny przeznaczone są na cele przemysłu i i usług komercyjnych. Na obszarze ok. 1. 50 ha znajdują się magazyny składowe, obiekty handlu i piekarni. Pozostały teren o pow. ok. 2.00ha stanowi własność prywatnych właścicieli.</w:t>
      </w:r>
    </w:p>
    <w:p w:rsidR="00B3390E" w:rsidRDefault="00B3390E" w:rsidP="00B3390E">
      <w:pPr>
        <w:pStyle w:val="Legenda"/>
      </w:pPr>
      <w:bookmarkStart w:id="77" w:name="_Toc495887779"/>
      <w:bookmarkStart w:id="78" w:name="_Toc487696076"/>
      <w:r>
        <w:t xml:space="preserve">Mapa </w:t>
      </w:r>
      <w:r w:rsidR="00172343">
        <w:fldChar w:fldCharType="begin"/>
      </w:r>
      <w:r w:rsidR="00172343">
        <w:instrText xml:space="preserve"> SEQ Mapa \* ARABIC </w:instrText>
      </w:r>
      <w:r w:rsidR="00172343">
        <w:fldChar w:fldCharType="separate"/>
      </w:r>
      <w:r>
        <w:rPr>
          <w:noProof/>
        </w:rPr>
        <w:t>4</w:t>
      </w:r>
      <w:r w:rsidR="00172343">
        <w:rPr>
          <w:noProof/>
        </w:rPr>
        <w:fldChar w:fldCharType="end"/>
      </w:r>
      <w:r>
        <w:t xml:space="preserve"> Obszary inwestycyjne Gminy Tryńcza</w:t>
      </w:r>
      <w:bookmarkEnd w:id="77"/>
      <w:r>
        <w:t xml:space="preserve"> </w:t>
      </w:r>
      <w:bookmarkEnd w:id="78"/>
    </w:p>
    <w:p w:rsidR="00B3390E" w:rsidRDefault="009C6581" w:rsidP="00B3390E">
      <w:pPr>
        <w:jc w:val="center"/>
      </w:pPr>
      <w:r>
        <w:rPr>
          <w:noProof/>
          <w:lang w:eastAsia="pl-PL"/>
        </w:rPr>
        <w:drawing>
          <wp:inline distT="0" distB="0" distL="0" distR="0">
            <wp:extent cx="4381500" cy="4968116"/>
            <wp:effectExtent l="0" t="0" r="0" b="444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2879" cy="4969680"/>
                    </a:xfrm>
                    <a:prstGeom prst="rect">
                      <a:avLst/>
                    </a:prstGeom>
                    <a:noFill/>
                    <a:ln>
                      <a:noFill/>
                    </a:ln>
                  </pic:spPr>
                </pic:pic>
              </a:graphicData>
            </a:graphic>
          </wp:inline>
        </w:drawing>
      </w:r>
    </w:p>
    <w:p w:rsidR="00B3390E" w:rsidRDefault="00B3390E" w:rsidP="00B3390E">
      <w:pPr>
        <w:pStyle w:val="Legenda"/>
        <w:jc w:val="both"/>
      </w:pPr>
      <w:r>
        <w:t xml:space="preserve">Źródło: Opracowanie własne na podstawie danych Urzędu Gminy, ze stron: </w:t>
      </w:r>
      <w:r w:rsidRPr="0031277D">
        <w:t>http://www.tryncza.eu</w:t>
      </w:r>
      <w:r>
        <w:t xml:space="preserve"> </w:t>
      </w:r>
      <w:r w:rsidRPr="0031277D">
        <w:t>/page/podstrona/101/inwestycje/oferta-inwestycyjna.html</w:t>
      </w:r>
      <w:r>
        <w:t xml:space="preserve"> </w:t>
      </w:r>
    </w:p>
    <w:p w:rsidR="00B3390E" w:rsidRDefault="00B3390E" w:rsidP="00B3390E">
      <w:pPr>
        <w:spacing w:after="0"/>
        <w:jc w:val="both"/>
      </w:pPr>
      <w:r>
        <w:t>OBSZAR NR 3 miejscowość GORZYCE</w:t>
      </w:r>
    </w:p>
    <w:p w:rsidR="00B3390E" w:rsidRDefault="00B3390E" w:rsidP="00B3390E">
      <w:pPr>
        <w:spacing w:after="0"/>
        <w:jc w:val="both"/>
      </w:pPr>
      <w:r>
        <w:t>Teren o pow. ok., 5.00ha, grunt stanowiący własność prywatnych właścicieli. Bonitacja gruntów przedstawia się następująco:</w:t>
      </w:r>
    </w:p>
    <w:p w:rsidR="00B3390E" w:rsidRDefault="00B3390E" w:rsidP="00B3390E">
      <w:pPr>
        <w:spacing w:after="0"/>
        <w:jc w:val="both"/>
      </w:pPr>
      <w:r>
        <w:t xml:space="preserve">    ok. 90% to pastwiska kl. V</w:t>
      </w:r>
    </w:p>
    <w:p w:rsidR="00B3390E" w:rsidRDefault="00B3390E" w:rsidP="00B3390E">
      <w:pPr>
        <w:spacing w:after="0"/>
        <w:jc w:val="both"/>
      </w:pPr>
      <w:r>
        <w:lastRenderedPageBreak/>
        <w:t xml:space="preserve">    ok. 10 % grunty kL IV</w:t>
      </w:r>
    </w:p>
    <w:p w:rsidR="00B3390E" w:rsidRDefault="00B3390E" w:rsidP="00B3390E">
      <w:pPr>
        <w:spacing w:after="0"/>
        <w:jc w:val="both"/>
      </w:pPr>
    </w:p>
    <w:p w:rsidR="00B3390E" w:rsidRDefault="00B3390E" w:rsidP="00702A63">
      <w:pPr>
        <w:spacing w:after="0"/>
        <w:jc w:val="both"/>
      </w:pPr>
      <w:r>
        <w:t>OBSZAR NR 4 miejscowość GORZYCE</w:t>
      </w:r>
    </w:p>
    <w:p w:rsidR="00B3390E" w:rsidRDefault="00B3390E" w:rsidP="00702A63">
      <w:pPr>
        <w:spacing w:after="0"/>
        <w:jc w:val="both"/>
      </w:pPr>
      <w:r>
        <w:t>Teren o pow. ok. 5.00 ha , grunt stanowiący własność prywatnych właścicieli. Bonitacja gruntów przedstawia się następująco:</w:t>
      </w:r>
    </w:p>
    <w:p w:rsidR="00B3390E" w:rsidRDefault="00B3390E" w:rsidP="00702A63">
      <w:pPr>
        <w:spacing w:after="0"/>
        <w:jc w:val="both"/>
      </w:pPr>
      <w:r>
        <w:t xml:space="preserve">    ok. 90 % grunty orne kl. IV</w:t>
      </w:r>
    </w:p>
    <w:p w:rsidR="00B3390E" w:rsidRDefault="00B3390E" w:rsidP="00702A63">
      <w:pPr>
        <w:spacing w:after="0"/>
        <w:jc w:val="both"/>
      </w:pPr>
      <w:r>
        <w:t xml:space="preserve">    ok. 10% grunty kl. V</w:t>
      </w:r>
    </w:p>
    <w:p w:rsidR="00B3390E" w:rsidRDefault="00B3390E" w:rsidP="00702A63">
      <w:pPr>
        <w:spacing w:after="0"/>
        <w:jc w:val="both"/>
      </w:pPr>
    </w:p>
    <w:p w:rsidR="00B3390E" w:rsidRDefault="00B3390E" w:rsidP="00702A63">
      <w:pPr>
        <w:spacing w:after="0"/>
        <w:jc w:val="both"/>
      </w:pPr>
      <w:r>
        <w:t>OBSZAR NR 5 miejscowość JAGIEŁŁA</w:t>
      </w:r>
    </w:p>
    <w:p w:rsidR="00B3390E" w:rsidRDefault="00B3390E" w:rsidP="00702A63">
      <w:pPr>
        <w:spacing w:after="0"/>
        <w:jc w:val="both"/>
      </w:pPr>
      <w:r>
        <w:t>W studium uwarunkowań i kierunków zagospodarowania przestrzennego gminy Tryńcza w/w tereny przeznaczone są na cele rekreacji i wypoczynku. Teren o pow. ok. 153,00 ha , grunt stanowiące własność Gminy Tryńcza. Bonitacja gruntów przedstawia się następująco:</w:t>
      </w:r>
    </w:p>
    <w:p w:rsidR="00B3390E" w:rsidRDefault="00B3390E" w:rsidP="00702A63">
      <w:pPr>
        <w:pStyle w:val="Bezodstpw"/>
        <w:spacing w:line="276" w:lineRule="auto"/>
      </w:pPr>
      <w:r>
        <w:t xml:space="preserve">    ok. 80 % stanowią pastwiska kl III</w:t>
      </w:r>
    </w:p>
    <w:p w:rsidR="00B3390E" w:rsidRDefault="00B3390E" w:rsidP="00702A63">
      <w:pPr>
        <w:pStyle w:val="Bezodstpw"/>
        <w:spacing w:line="276" w:lineRule="auto"/>
      </w:pPr>
      <w:r>
        <w:t xml:space="preserve">    ok. 20 % stanowią pastwiska i grunty orne kL IV</w:t>
      </w:r>
    </w:p>
    <w:p w:rsidR="00B3390E" w:rsidRDefault="00B3390E" w:rsidP="00702A63">
      <w:pPr>
        <w:pStyle w:val="Bezodstpw"/>
        <w:spacing w:line="276" w:lineRule="auto"/>
      </w:pPr>
    </w:p>
    <w:p w:rsidR="00B3390E" w:rsidRDefault="00B3390E" w:rsidP="00702A63">
      <w:pPr>
        <w:spacing w:after="0"/>
        <w:jc w:val="both"/>
      </w:pPr>
      <w:r>
        <w:t>OBSZAR NR 6 miejscowość JAGIEŁŁA</w:t>
      </w:r>
    </w:p>
    <w:p w:rsidR="00B3390E" w:rsidRDefault="00B3390E" w:rsidP="00702A63">
      <w:pPr>
        <w:pStyle w:val="Bezodstpw"/>
        <w:spacing w:line="276" w:lineRule="auto"/>
      </w:pPr>
      <w:r>
        <w:t xml:space="preserve">W studium uwarunkowań i kierunków zagospodarowania przestrzennego gminy Tryńcza w/w tereny przeznaczone są na cele rekreacji i wypoczynku. Teren o pow. ok. 20.00 ha , grunt stanowiące własność Gminy Tryńcza. Bonitacja gruntów przedstawia się następująco: </w:t>
      </w:r>
    </w:p>
    <w:p w:rsidR="00B3390E" w:rsidRDefault="00B3390E" w:rsidP="00702A63">
      <w:pPr>
        <w:pStyle w:val="Bezodstpw"/>
        <w:spacing w:line="276" w:lineRule="auto"/>
      </w:pPr>
      <w:r>
        <w:t xml:space="preserve">    ok. 85 % stanowią pastwiska kl IV,</w:t>
      </w:r>
    </w:p>
    <w:p w:rsidR="00B3390E" w:rsidRDefault="00B3390E" w:rsidP="00702A63">
      <w:pPr>
        <w:pStyle w:val="Bezodstpw"/>
        <w:spacing w:line="276" w:lineRule="auto"/>
      </w:pPr>
      <w:r>
        <w:t xml:space="preserve">    ok. 15 % stanowią pastwiska kl V.</w:t>
      </w:r>
    </w:p>
    <w:p w:rsidR="00983DF1" w:rsidRPr="00983DF1" w:rsidRDefault="00983DF1" w:rsidP="00983DF1"/>
    <w:p w:rsidR="00481877" w:rsidRDefault="00481877" w:rsidP="00481877">
      <w:pPr>
        <w:pStyle w:val="Nagwek2"/>
      </w:pPr>
      <w:bookmarkStart w:id="79" w:name="_Toc496558076"/>
      <w:r>
        <w:t>Aktywność społeczna mieszkańców</w:t>
      </w:r>
      <w:bookmarkEnd w:id="79"/>
    </w:p>
    <w:p w:rsidR="00481877" w:rsidRPr="00481877" w:rsidRDefault="00481877" w:rsidP="00481877"/>
    <w:p w:rsidR="00481877" w:rsidRDefault="00481877" w:rsidP="00481877">
      <w:pPr>
        <w:pStyle w:val="Bezodstpw"/>
        <w:spacing w:line="276" w:lineRule="auto"/>
        <w:jc w:val="both"/>
      </w:pPr>
      <w:r>
        <w:t>Na terenie Gminy Tryńcza swoje siedziby mają organizacje pozarządowe, prowadzące działalność w</w:t>
      </w:r>
      <w:r w:rsidR="00983DF1">
        <w:t> </w:t>
      </w:r>
      <w:r>
        <w:t>różnych obszarach. Współpraca z sektorem NGO może przynosić Gminie i jej mieszkańcom korzyści w postaci lepszej diagnozy lokalnych potrzeb, podniesienia jakości świadczonych usług publicznych poprzez realizację części z nich w różnych formułach partnerstwa, czy też wzmocnienie poczucia odpowiedzialności za dobro wspólne u mieszkańców i zwiększenie ich aktywności na niwie społecznej. Roczn</w:t>
      </w:r>
      <w:r w:rsidR="00BB55E0">
        <w:t>e</w:t>
      </w:r>
      <w:r>
        <w:t xml:space="preserve"> program</w:t>
      </w:r>
      <w:r w:rsidR="00BB55E0">
        <w:t>y</w:t>
      </w:r>
      <w:r>
        <w:t xml:space="preserve"> współpracy Gminy Tryńcza z organizacjami pozarządowymi</w:t>
      </w:r>
      <w:r w:rsidR="00BB55E0">
        <w:t xml:space="preserve"> </w:t>
      </w:r>
      <w:r>
        <w:t>określa</w:t>
      </w:r>
      <w:r w:rsidR="00BB55E0">
        <w:t xml:space="preserve">ją </w:t>
      </w:r>
      <w:r>
        <w:t xml:space="preserve"> jako strategiczne następujące obszary współpracy:</w:t>
      </w:r>
    </w:p>
    <w:p w:rsidR="00481877" w:rsidRDefault="00481877" w:rsidP="00481877">
      <w:pPr>
        <w:pStyle w:val="Bezodstpw"/>
        <w:spacing w:line="276" w:lineRule="auto"/>
        <w:jc w:val="both"/>
      </w:pPr>
      <w:r>
        <w:t>•</w:t>
      </w:r>
      <w:r>
        <w:tab/>
        <w:t>upowszechnianie kultury fizycznej, sportu i rekreacji,</w:t>
      </w:r>
    </w:p>
    <w:p w:rsidR="00481877" w:rsidRDefault="00481877" w:rsidP="00481877">
      <w:pPr>
        <w:pStyle w:val="Bezodstpw"/>
        <w:spacing w:line="276" w:lineRule="auto"/>
        <w:jc w:val="both"/>
      </w:pPr>
      <w:r>
        <w:t>•</w:t>
      </w:r>
      <w:r>
        <w:tab/>
        <w:t>kultury artystycznej i sztuki,</w:t>
      </w:r>
    </w:p>
    <w:p w:rsidR="00481877" w:rsidRDefault="00481877" w:rsidP="00481877">
      <w:pPr>
        <w:pStyle w:val="Bezodstpw"/>
        <w:spacing w:line="276" w:lineRule="auto"/>
        <w:jc w:val="both"/>
      </w:pPr>
      <w:r>
        <w:t>•</w:t>
      </w:r>
      <w:r>
        <w:tab/>
        <w:t>działalności charytatywnej,</w:t>
      </w:r>
    </w:p>
    <w:p w:rsidR="00481877" w:rsidRDefault="00481877" w:rsidP="00481877">
      <w:pPr>
        <w:pStyle w:val="Bezodstpw"/>
        <w:spacing w:line="276" w:lineRule="auto"/>
        <w:jc w:val="both"/>
      </w:pPr>
      <w:r>
        <w:t>•</w:t>
      </w:r>
      <w:r>
        <w:tab/>
        <w:t>nauki, edukacji, oświaty i wychowania.</w:t>
      </w:r>
    </w:p>
    <w:p w:rsidR="00481877" w:rsidRDefault="00481877" w:rsidP="00481877">
      <w:pPr>
        <w:pStyle w:val="Bezodstpw"/>
        <w:spacing w:line="276" w:lineRule="auto"/>
        <w:jc w:val="both"/>
      </w:pPr>
    </w:p>
    <w:p w:rsidR="00481877" w:rsidRDefault="00481877" w:rsidP="00481877">
      <w:pPr>
        <w:pStyle w:val="Bezodstpw"/>
        <w:spacing w:line="276" w:lineRule="auto"/>
        <w:jc w:val="both"/>
      </w:pPr>
      <w:r>
        <w:t xml:space="preserve">Ponadto, współpraca pomiędzy Gminą Tryńcza, a sektorem NGO prowadzona </w:t>
      </w:r>
      <w:r w:rsidR="00BB55E0">
        <w:t xml:space="preserve">jest </w:t>
      </w:r>
      <w:r>
        <w:t>w szczególności poprzez:</w:t>
      </w:r>
    </w:p>
    <w:p w:rsidR="00481877" w:rsidRDefault="00481877" w:rsidP="00481877">
      <w:pPr>
        <w:pStyle w:val="Bezodstpw"/>
        <w:spacing w:line="276" w:lineRule="auto"/>
        <w:jc w:val="both"/>
      </w:pPr>
      <w:r>
        <w:t>•</w:t>
      </w:r>
      <w:r>
        <w:tab/>
        <w:t>zlecanie zadań publicznych w formie:</w:t>
      </w:r>
    </w:p>
    <w:p w:rsidR="00481877" w:rsidRDefault="00481877" w:rsidP="00BB55E0">
      <w:pPr>
        <w:pStyle w:val="Bezodstpw"/>
        <w:numPr>
          <w:ilvl w:val="0"/>
          <w:numId w:val="19"/>
        </w:numPr>
        <w:spacing w:line="276" w:lineRule="auto"/>
        <w:jc w:val="both"/>
      </w:pPr>
      <w:r>
        <w:t>powierzania wykonania zadania wraz z udzieleniem dotacji na finansowanie jego realizacji;</w:t>
      </w:r>
    </w:p>
    <w:p w:rsidR="00481877" w:rsidRDefault="00481877" w:rsidP="00BB55E0">
      <w:pPr>
        <w:pStyle w:val="Bezodstpw"/>
        <w:numPr>
          <w:ilvl w:val="0"/>
          <w:numId w:val="19"/>
        </w:numPr>
        <w:spacing w:line="276" w:lineRule="auto"/>
        <w:jc w:val="both"/>
      </w:pPr>
      <w:r>
        <w:t>wspierania wykonania zadania wraz z udzieleniem dotacji na dofinansowanie jego realizacji.</w:t>
      </w:r>
    </w:p>
    <w:p w:rsidR="00481877" w:rsidRDefault="00481877" w:rsidP="00481877">
      <w:pPr>
        <w:pStyle w:val="Bezodstpw"/>
        <w:spacing w:line="276" w:lineRule="auto"/>
        <w:jc w:val="both"/>
      </w:pPr>
      <w:r>
        <w:t>•</w:t>
      </w:r>
      <w:r>
        <w:tab/>
        <w:t>wspólną realizację zadań publicznych na zasadzie partnerstwa,</w:t>
      </w:r>
    </w:p>
    <w:p w:rsidR="00481877" w:rsidRDefault="00481877" w:rsidP="00481877">
      <w:pPr>
        <w:pStyle w:val="Bezodstpw"/>
        <w:spacing w:line="276" w:lineRule="auto"/>
        <w:jc w:val="both"/>
      </w:pPr>
      <w:r>
        <w:t>•</w:t>
      </w:r>
      <w:r>
        <w:tab/>
        <w:t>formy współpracy pozafinansowej, w postaci:</w:t>
      </w:r>
    </w:p>
    <w:p w:rsidR="00481877" w:rsidRDefault="00481877" w:rsidP="00BB55E0">
      <w:pPr>
        <w:pStyle w:val="Bezodstpw"/>
        <w:numPr>
          <w:ilvl w:val="0"/>
          <w:numId w:val="19"/>
        </w:numPr>
        <w:spacing w:line="276" w:lineRule="auto"/>
        <w:jc w:val="both"/>
      </w:pPr>
      <w:r>
        <w:lastRenderedPageBreak/>
        <w:t xml:space="preserve">wzajemnego informowania się o planowanych kierunkach działań i współdziałania </w:t>
      </w:r>
    </w:p>
    <w:p w:rsidR="00481877" w:rsidRDefault="00481877" w:rsidP="00BB55E0">
      <w:pPr>
        <w:pStyle w:val="Bezodstpw"/>
        <w:numPr>
          <w:ilvl w:val="0"/>
          <w:numId w:val="23"/>
        </w:numPr>
        <w:spacing w:line="276" w:lineRule="auto"/>
        <w:jc w:val="both"/>
      </w:pPr>
      <w:r>
        <w:t>w celu zharmonizowania tych kierunków;</w:t>
      </w:r>
    </w:p>
    <w:p w:rsidR="00481877" w:rsidRDefault="00481877" w:rsidP="00BB55E0">
      <w:pPr>
        <w:pStyle w:val="Bezodstpw"/>
        <w:numPr>
          <w:ilvl w:val="0"/>
          <w:numId w:val="23"/>
        </w:numPr>
        <w:spacing w:line="276" w:lineRule="auto"/>
        <w:jc w:val="both"/>
      </w:pPr>
      <w:r>
        <w:t>współpracy w pozyskiwaniu środków finansowych z innych źródeł;</w:t>
      </w:r>
    </w:p>
    <w:p w:rsidR="00481877" w:rsidRDefault="00481877" w:rsidP="00BB55E0">
      <w:pPr>
        <w:pStyle w:val="Bezodstpw"/>
        <w:numPr>
          <w:ilvl w:val="0"/>
          <w:numId w:val="23"/>
        </w:numPr>
        <w:spacing w:line="276" w:lineRule="auto"/>
        <w:jc w:val="both"/>
      </w:pPr>
      <w:r>
        <w:t>udostępniania lokalu na spotkania, szkolenia i konferencje;</w:t>
      </w:r>
    </w:p>
    <w:p w:rsidR="00481877" w:rsidRDefault="00481877" w:rsidP="00BB55E0">
      <w:pPr>
        <w:pStyle w:val="Bezodstpw"/>
        <w:numPr>
          <w:ilvl w:val="0"/>
          <w:numId w:val="23"/>
        </w:numPr>
        <w:spacing w:line="276" w:lineRule="auto"/>
        <w:jc w:val="both"/>
      </w:pPr>
      <w:r>
        <w:t>pomocy merytorycznej dotyczącej przepisów prawnych i tworzenia aktów normatywnych związanych z funkcjonowaniem organizacji.</w:t>
      </w:r>
    </w:p>
    <w:p w:rsidR="00BB55E0" w:rsidRDefault="00BB55E0" w:rsidP="00481877">
      <w:pPr>
        <w:pStyle w:val="Bezodstpw"/>
        <w:spacing w:line="276" w:lineRule="auto"/>
        <w:jc w:val="both"/>
      </w:pPr>
    </w:p>
    <w:p w:rsidR="00481877" w:rsidRDefault="00481877" w:rsidP="00481877">
      <w:pPr>
        <w:pStyle w:val="Bezodstpw"/>
        <w:spacing w:line="276" w:lineRule="auto"/>
        <w:jc w:val="both"/>
      </w:pPr>
      <w:r>
        <w:t>Lista organizacji pozarządowych działających na terenie gminy:</w:t>
      </w:r>
    </w:p>
    <w:p w:rsidR="00481877" w:rsidRDefault="00481877" w:rsidP="00BB55E0">
      <w:pPr>
        <w:pStyle w:val="Bezodstpw"/>
        <w:numPr>
          <w:ilvl w:val="0"/>
          <w:numId w:val="24"/>
        </w:numPr>
        <w:spacing w:line="276" w:lineRule="auto"/>
        <w:jc w:val="both"/>
      </w:pPr>
      <w:r>
        <w:t>Koła Gospodyń Wiejskich (9): Tryńcza, Głogowiec, Gniewczyna Łańcucka, Gniewczyna Tryniecka, Jagiełła, Ubieszyn, Gorzyce, Wólka Małkowa, Wólka Ogryzkowa;</w:t>
      </w:r>
    </w:p>
    <w:p w:rsidR="00481877" w:rsidRDefault="00481877" w:rsidP="00BB55E0">
      <w:pPr>
        <w:pStyle w:val="Bezodstpw"/>
        <w:numPr>
          <w:ilvl w:val="0"/>
          <w:numId w:val="24"/>
        </w:numPr>
        <w:spacing w:line="276" w:lineRule="auto"/>
        <w:jc w:val="both"/>
      </w:pPr>
      <w:r>
        <w:t>Ludowe Kluby Sportowe (4): LKS „Wisłoczanka” Tryńcza, LKS „SAN” Gorzyce, LKS „Huragan” Gniewczyna, LKS „Zorza” Jagiełła;</w:t>
      </w:r>
    </w:p>
    <w:p w:rsidR="00BB55E0" w:rsidRDefault="00481877" w:rsidP="00BB55E0">
      <w:pPr>
        <w:pStyle w:val="Bezodstpw"/>
        <w:numPr>
          <w:ilvl w:val="0"/>
          <w:numId w:val="24"/>
        </w:numPr>
        <w:spacing w:line="276" w:lineRule="auto"/>
        <w:jc w:val="both"/>
      </w:pPr>
      <w:r>
        <w:t>Ochotnicze Straże Pożarne (7): Tryńcza, Gniewczyna Łańcucka, Gniewczyna Tryniecka, Gorzyce,</w:t>
      </w:r>
      <w:r w:rsidR="00BB55E0">
        <w:t xml:space="preserve"> Jagiełła, Głogowiec, Ubieszyn;</w:t>
      </w:r>
    </w:p>
    <w:p w:rsidR="00481877" w:rsidRPr="002C0A2E" w:rsidRDefault="00481877" w:rsidP="00BB55E0">
      <w:pPr>
        <w:pStyle w:val="Bezodstpw"/>
        <w:numPr>
          <w:ilvl w:val="0"/>
          <w:numId w:val="24"/>
        </w:numPr>
        <w:spacing w:line="276" w:lineRule="auto"/>
        <w:jc w:val="both"/>
      </w:pPr>
      <w:r w:rsidRPr="00BB55E0">
        <w:t>Stowarzyszenia (4):</w:t>
      </w:r>
      <w:r>
        <w:rPr>
          <w:b/>
        </w:rPr>
        <w:t xml:space="preserve"> </w:t>
      </w:r>
      <w:r w:rsidRPr="00E35012">
        <w:t xml:space="preserve">Stowarzyszenie </w:t>
      </w:r>
      <w:r>
        <w:t>„</w:t>
      </w:r>
      <w:r w:rsidRPr="00E35012">
        <w:t>Kraina Sanu</w:t>
      </w:r>
      <w:r>
        <w:t>” – Lokalna Grupa Działania</w:t>
      </w:r>
      <w:r w:rsidRPr="00E35012">
        <w:t>, Stowarzyszenie Chóralne Chór</w:t>
      </w:r>
      <w:r>
        <w:t xml:space="preserve"> Cantilena i</w:t>
      </w:r>
      <w:r w:rsidRPr="00E35012">
        <w:t xml:space="preserve"> Przyjaciół Czytelnictwa, Gniewczyńskie Stowarzyszenie Pomocy i Rozwoju , Parafialne Stowarzyszenie Rozwoju „Wiara”</w:t>
      </w:r>
      <w:r>
        <w:t>;</w:t>
      </w:r>
    </w:p>
    <w:p w:rsidR="00481877" w:rsidRPr="002C0A2E" w:rsidRDefault="00481877" w:rsidP="00BB55E0">
      <w:pPr>
        <w:pStyle w:val="Bezodstpw"/>
        <w:numPr>
          <w:ilvl w:val="0"/>
          <w:numId w:val="24"/>
        </w:numPr>
        <w:spacing w:line="276" w:lineRule="auto"/>
        <w:jc w:val="both"/>
      </w:pPr>
      <w:r w:rsidRPr="00BB55E0">
        <w:t>Straże Grobowe „Turki” (5):</w:t>
      </w:r>
      <w:r w:rsidRPr="002C0A2E">
        <w:t xml:space="preserve"> Tryńcza, Gniewczyna Łańcucka, Gniewczyna Tryniecka, Gorzyce, Jagiełła</w:t>
      </w:r>
      <w:r>
        <w:t>;</w:t>
      </w:r>
    </w:p>
    <w:p w:rsidR="00481877" w:rsidRPr="002C0A2E" w:rsidRDefault="00481877" w:rsidP="00BB55E0">
      <w:pPr>
        <w:pStyle w:val="Bezodstpw"/>
        <w:numPr>
          <w:ilvl w:val="0"/>
          <w:numId w:val="24"/>
        </w:numPr>
        <w:spacing w:line="276" w:lineRule="auto"/>
        <w:jc w:val="both"/>
      </w:pPr>
      <w:r w:rsidRPr="00BB55E0">
        <w:t>Parafialny Oddział Akcji Katolickiej (3):</w:t>
      </w:r>
      <w:r w:rsidRPr="002C0A2E">
        <w:t xml:space="preserve"> Tryńcza, Gniewczyna Łańcucka</w:t>
      </w:r>
      <w:r>
        <w:t>, Gorzyce;</w:t>
      </w:r>
    </w:p>
    <w:p w:rsidR="00481877" w:rsidRPr="002C0A2E" w:rsidRDefault="00481877" w:rsidP="00BB55E0">
      <w:pPr>
        <w:pStyle w:val="Bezodstpw"/>
        <w:numPr>
          <w:ilvl w:val="0"/>
          <w:numId w:val="24"/>
        </w:numPr>
        <w:spacing w:line="276" w:lineRule="auto"/>
        <w:jc w:val="both"/>
      </w:pPr>
      <w:r w:rsidRPr="00BB55E0">
        <w:t>Ruch Apostolski Młodzieży (1):</w:t>
      </w:r>
      <w:r w:rsidRPr="002C0A2E">
        <w:t xml:space="preserve"> Gniewczyna Łańcucka</w:t>
      </w:r>
      <w:r>
        <w:t>;</w:t>
      </w:r>
    </w:p>
    <w:p w:rsidR="00481877" w:rsidRDefault="00481877" w:rsidP="00BB55E0">
      <w:pPr>
        <w:pStyle w:val="Bezodstpw"/>
        <w:numPr>
          <w:ilvl w:val="0"/>
          <w:numId w:val="24"/>
        </w:numPr>
        <w:spacing w:line="276" w:lineRule="auto"/>
        <w:jc w:val="both"/>
      </w:pPr>
      <w:r w:rsidRPr="00BB55E0">
        <w:t>Izby Pamięci Narodowej (3):</w:t>
      </w:r>
      <w:r w:rsidRPr="002C0A2E">
        <w:t xml:space="preserve"> Tryńcza, Gorzyce, Gniewczyna Łańcucka</w:t>
      </w:r>
      <w:r>
        <w:t>.</w:t>
      </w:r>
    </w:p>
    <w:p w:rsidR="00BB55E0" w:rsidRPr="002C0A2E" w:rsidRDefault="00BB55E0" w:rsidP="00BB55E0">
      <w:pPr>
        <w:pStyle w:val="Bezodstpw"/>
        <w:spacing w:line="276" w:lineRule="auto"/>
        <w:ind w:left="720"/>
        <w:jc w:val="both"/>
      </w:pPr>
    </w:p>
    <w:p w:rsidR="00481877" w:rsidRPr="0047768F" w:rsidRDefault="00481877" w:rsidP="00BB55E0">
      <w:pPr>
        <w:pStyle w:val="Bezodstpw"/>
        <w:spacing w:line="276" w:lineRule="auto"/>
        <w:ind w:firstLine="360"/>
        <w:jc w:val="both"/>
      </w:pPr>
      <w:r>
        <w:t>Atutem Gminy w kontekście rozwijania aktywności mieszkańców jest posiadanie uchwalonego przez Radę</w:t>
      </w:r>
      <w:r w:rsidRPr="0047768F">
        <w:t xml:space="preserve"> Gminy Tryńcza </w:t>
      </w:r>
      <w:r>
        <w:t>dokumentu w postaci „Strategii</w:t>
      </w:r>
      <w:r w:rsidRPr="00256B3F">
        <w:t xml:space="preserve"> Rozwoju Społeczeństwa Obywatelskiego Gminy Tryńcza</w:t>
      </w:r>
      <w:r>
        <w:t>” (SRSOGT). Przewiduje on</w:t>
      </w:r>
      <w:r w:rsidRPr="00256B3F">
        <w:t xml:space="preserve"> </w:t>
      </w:r>
      <w:r>
        <w:t>osiągnięcie następujących celów strategicznych</w:t>
      </w:r>
      <w:r w:rsidRPr="0047768F">
        <w:t>:</w:t>
      </w:r>
    </w:p>
    <w:p w:rsidR="00481877" w:rsidRPr="0047768F" w:rsidRDefault="00481877" w:rsidP="00BB55E0">
      <w:pPr>
        <w:pStyle w:val="Bezodstpw"/>
        <w:numPr>
          <w:ilvl w:val="0"/>
          <w:numId w:val="25"/>
        </w:numPr>
        <w:spacing w:line="276" w:lineRule="auto"/>
        <w:jc w:val="both"/>
      </w:pPr>
      <w:r w:rsidRPr="0047768F">
        <w:t>Zwiększenie a</w:t>
      </w:r>
      <w:r>
        <w:t>ktywności społeczności lokalnej;</w:t>
      </w:r>
    </w:p>
    <w:p w:rsidR="00481877" w:rsidRPr="0047768F" w:rsidRDefault="00481877" w:rsidP="00BB55E0">
      <w:pPr>
        <w:pStyle w:val="Bezodstpw"/>
        <w:numPr>
          <w:ilvl w:val="0"/>
          <w:numId w:val="25"/>
        </w:numPr>
        <w:spacing w:line="276" w:lineRule="auto"/>
        <w:jc w:val="both"/>
      </w:pPr>
      <w:r w:rsidRPr="0047768F">
        <w:t>Skuteczniejsze i efektywniejsze wyk</w:t>
      </w:r>
      <w:r>
        <w:t>orzystanie istniejących zasobów;</w:t>
      </w:r>
    </w:p>
    <w:p w:rsidR="00481877" w:rsidRPr="0047768F" w:rsidRDefault="00481877" w:rsidP="00BB55E0">
      <w:pPr>
        <w:pStyle w:val="Bezodstpw"/>
        <w:numPr>
          <w:ilvl w:val="0"/>
          <w:numId w:val="25"/>
        </w:numPr>
        <w:spacing w:line="276" w:lineRule="auto"/>
        <w:jc w:val="both"/>
      </w:pPr>
      <w:r w:rsidRPr="0047768F">
        <w:t>Wzrost zaangażowania organizacji lokalnych w zakresie pod</w:t>
      </w:r>
      <w:r>
        <w:t>ejmowania działań samorządowych;</w:t>
      </w:r>
    </w:p>
    <w:p w:rsidR="00481877" w:rsidRPr="0047768F" w:rsidRDefault="00481877" w:rsidP="00BB55E0">
      <w:pPr>
        <w:pStyle w:val="Bezodstpw"/>
        <w:numPr>
          <w:ilvl w:val="0"/>
          <w:numId w:val="25"/>
        </w:numPr>
        <w:spacing w:line="276" w:lineRule="auto"/>
        <w:jc w:val="both"/>
      </w:pPr>
      <w:r w:rsidRPr="0047768F">
        <w:t>Powstanie nowych organizacji pozarządowych</w:t>
      </w:r>
      <w:r>
        <w:t xml:space="preserve"> i inicjatyw wolontarystycznych;</w:t>
      </w:r>
    </w:p>
    <w:p w:rsidR="00481877" w:rsidRPr="0047768F" w:rsidRDefault="00481877" w:rsidP="00BB55E0">
      <w:pPr>
        <w:pStyle w:val="Bezodstpw"/>
        <w:numPr>
          <w:ilvl w:val="0"/>
          <w:numId w:val="25"/>
        </w:numPr>
        <w:spacing w:line="276" w:lineRule="auto"/>
        <w:jc w:val="both"/>
      </w:pPr>
      <w:r>
        <w:t>Usprawnienie procesu informacji;</w:t>
      </w:r>
    </w:p>
    <w:p w:rsidR="00481877" w:rsidRPr="0047768F" w:rsidRDefault="00481877" w:rsidP="00BB55E0">
      <w:pPr>
        <w:pStyle w:val="Bezodstpw"/>
        <w:numPr>
          <w:ilvl w:val="0"/>
          <w:numId w:val="25"/>
        </w:numPr>
        <w:spacing w:line="276" w:lineRule="auto"/>
        <w:jc w:val="both"/>
      </w:pPr>
      <w:r w:rsidRPr="0047768F">
        <w:t xml:space="preserve">Zmniejszenie </w:t>
      </w:r>
      <w:r>
        <w:t>obszaru wykluczenia społecznego;</w:t>
      </w:r>
    </w:p>
    <w:p w:rsidR="00481877" w:rsidRDefault="00481877" w:rsidP="00BB55E0">
      <w:pPr>
        <w:pStyle w:val="Bezodstpw"/>
        <w:numPr>
          <w:ilvl w:val="0"/>
          <w:numId w:val="25"/>
        </w:numPr>
        <w:spacing w:line="276" w:lineRule="auto"/>
        <w:jc w:val="both"/>
      </w:pPr>
      <w:r w:rsidRPr="0047768F">
        <w:t>Stały monitoring</w:t>
      </w:r>
      <w:r>
        <w:t xml:space="preserve"> potrzeb środowiska społecznego;</w:t>
      </w:r>
    </w:p>
    <w:p w:rsidR="00481877" w:rsidRPr="002C0A2E" w:rsidRDefault="00481877" w:rsidP="00BB55E0">
      <w:pPr>
        <w:pStyle w:val="Bezodstpw"/>
        <w:numPr>
          <w:ilvl w:val="0"/>
          <w:numId w:val="25"/>
        </w:numPr>
        <w:spacing w:line="276" w:lineRule="auto"/>
        <w:jc w:val="both"/>
      </w:pPr>
      <w:r w:rsidRPr="0047768F">
        <w:t>Realizacja projektów inicjowanych i współorganizowanych przez lokalne społeczności</w:t>
      </w:r>
      <w:r>
        <w:t>.</w:t>
      </w:r>
    </w:p>
    <w:p w:rsidR="00481877" w:rsidRPr="00751047" w:rsidRDefault="00481877" w:rsidP="00481877">
      <w:pPr>
        <w:pStyle w:val="Bezodstpw"/>
        <w:spacing w:line="276" w:lineRule="auto"/>
        <w:jc w:val="both"/>
      </w:pPr>
    </w:p>
    <w:p w:rsidR="00481877" w:rsidRDefault="00481877" w:rsidP="00BB55E0">
      <w:pPr>
        <w:pStyle w:val="Bezodstpw"/>
        <w:spacing w:line="276" w:lineRule="auto"/>
        <w:ind w:firstLine="360"/>
        <w:jc w:val="both"/>
      </w:pPr>
      <w:r>
        <w:t>Poza faktem niewielkiej</w:t>
      </w:r>
      <w:r w:rsidRPr="00EA44B3">
        <w:t xml:space="preserve"> liczby organizacji</w:t>
      </w:r>
      <w:r>
        <w:t xml:space="preserve"> pozarządowych</w:t>
      </w:r>
      <w:r w:rsidRPr="00EA44B3">
        <w:t xml:space="preserve">, problemem większości </w:t>
      </w:r>
      <w:r>
        <w:br/>
      </w:r>
      <w:r w:rsidRPr="00EA44B3">
        <w:t>z nich jest niski potencjał organizacyjny i finansowy, co ogranicz</w:t>
      </w:r>
      <w:r>
        <w:t>a</w:t>
      </w:r>
      <w:r w:rsidRPr="00EA44B3">
        <w:t xml:space="preserve"> możliwości oddziaływania wi</w:t>
      </w:r>
      <w:r>
        <w:t>elu z nich w</w:t>
      </w:r>
      <w:r w:rsidRPr="00EA44B3">
        <w:t xml:space="preserve"> zakresie realizacji </w:t>
      </w:r>
      <w:r>
        <w:t xml:space="preserve">własnych </w:t>
      </w:r>
      <w:r w:rsidRPr="00EA44B3">
        <w:t>celów statutowych. Wzmocnienie sektora NGO</w:t>
      </w:r>
      <w:r>
        <w:t>, zarówno poprzez niniejszą Strategię, jak też</w:t>
      </w:r>
      <w:r w:rsidRPr="00EA44B3">
        <w:t xml:space="preserve"> </w:t>
      </w:r>
      <w:r>
        <w:t>„Strategię</w:t>
      </w:r>
      <w:r w:rsidRPr="00256B3F">
        <w:t xml:space="preserve"> Rozwoju Społeczeństwa Obywatelskiego Gminy Tryńcza</w:t>
      </w:r>
      <w:r>
        <w:t xml:space="preserve">” </w:t>
      </w:r>
      <w:r w:rsidRPr="00EA44B3">
        <w:t>po</w:t>
      </w:r>
      <w:r>
        <w:t>dniosłoby</w:t>
      </w:r>
      <w:r w:rsidRPr="00EA44B3">
        <w:t xml:space="preserve"> </w:t>
      </w:r>
      <w:r>
        <w:t xml:space="preserve">poziom aktywności społecznej i rozwoju postaw obywatelskich na terenie Gminy, przez co uległaby poprawie zarówno sfera jakości zarządzania, jak też postrzeganie lokalnego samorządu przez mieszkańców. </w:t>
      </w:r>
    </w:p>
    <w:p w:rsidR="00525163" w:rsidRDefault="00525163" w:rsidP="00BB55E0">
      <w:pPr>
        <w:pStyle w:val="Bezodstpw"/>
        <w:spacing w:line="276" w:lineRule="auto"/>
        <w:ind w:firstLine="360"/>
        <w:jc w:val="both"/>
      </w:pPr>
    </w:p>
    <w:p w:rsidR="00525163" w:rsidRDefault="00525163" w:rsidP="00525163">
      <w:pPr>
        <w:pStyle w:val="Nagwek2"/>
      </w:pPr>
      <w:bookmarkStart w:id="80" w:name="_Toc496558077"/>
      <w:r>
        <w:lastRenderedPageBreak/>
        <w:t>Podsumowanie szczegółowej diagnozy – mocne i słabe strony</w:t>
      </w:r>
      <w:bookmarkEnd w:id="80"/>
    </w:p>
    <w:tbl>
      <w:tblPr>
        <w:tblStyle w:val="Tabelasiatki5ciemnaakcent32"/>
        <w:tblW w:w="0" w:type="auto"/>
        <w:tblLook w:val="04A0" w:firstRow="1" w:lastRow="0" w:firstColumn="1" w:lastColumn="0" w:noHBand="0" w:noVBand="1"/>
      </w:tblPr>
      <w:tblGrid>
        <w:gridCol w:w="4606"/>
        <w:gridCol w:w="4606"/>
      </w:tblGrid>
      <w:tr w:rsidR="00525163" w:rsidRPr="002943F5" w:rsidTr="00294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25163" w:rsidRPr="002943F5" w:rsidRDefault="00525163" w:rsidP="00525163">
            <w:pPr>
              <w:jc w:val="center"/>
              <w:rPr>
                <w:rFonts w:asciiTheme="minorHAnsi" w:hAnsiTheme="minorHAnsi" w:cstheme="minorHAnsi"/>
                <w:sz w:val="24"/>
                <w:szCs w:val="24"/>
              </w:rPr>
            </w:pPr>
            <w:r w:rsidRPr="002943F5">
              <w:rPr>
                <w:rFonts w:asciiTheme="minorHAnsi" w:hAnsiTheme="minorHAnsi" w:cstheme="minorHAnsi"/>
                <w:sz w:val="24"/>
                <w:szCs w:val="24"/>
              </w:rPr>
              <w:t>Mocne strony</w:t>
            </w:r>
          </w:p>
        </w:tc>
        <w:tc>
          <w:tcPr>
            <w:tcW w:w="4606" w:type="dxa"/>
          </w:tcPr>
          <w:p w:rsidR="00525163" w:rsidRPr="002943F5" w:rsidRDefault="00525163" w:rsidP="0052516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943F5">
              <w:rPr>
                <w:rFonts w:asciiTheme="minorHAnsi" w:hAnsiTheme="minorHAnsi" w:cstheme="minorHAnsi"/>
                <w:sz w:val="24"/>
                <w:szCs w:val="24"/>
              </w:rPr>
              <w:t>Słabe strony</w:t>
            </w:r>
          </w:p>
        </w:tc>
      </w:tr>
      <w:tr w:rsidR="00525163" w:rsidRPr="002943F5" w:rsidTr="00294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25163" w:rsidRPr="002943F5" w:rsidRDefault="001957AA" w:rsidP="00702A63">
            <w:pPr>
              <w:jc w:val="center"/>
              <w:rPr>
                <w:rFonts w:asciiTheme="minorHAnsi" w:hAnsiTheme="minorHAnsi" w:cstheme="minorHAnsi"/>
                <w:sz w:val="24"/>
                <w:szCs w:val="24"/>
              </w:rPr>
            </w:pPr>
            <w:r w:rsidRPr="002943F5">
              <w:rPr>
                <w:rFonts w:asciiTheme="minorHAnsi" w:hAnsiTheme="minorHAnsi" w:cstheme="minorHAnsi"/>
                <w:sz w:val="24"/>
                <w:szCs w:val="24"/>
              </w:rPr>
              <w:t>Dogodne położenie komunikacyjne</w:t>
            </w:r>
          </w:p>
          <w:p w:rsidR="001957AA" w:rsidRPr="002943F5" w:rsidRDefault="001957AA" w:rsidP="00702A63">
            <w:pPr>
              <w:jc w:val="center"/>
              <w:rPr>
                <w:rFonts w:asciiTheme="minorHAnsi" w:hAnsiTheme="minorHAnsi" w:cstheme="minorHAnsi"/>
                <w:sz w:val="24"/>
                <w:szCs w:val="24"/>
              </w:rPr>
            </w:pPr>
            <w:r w:rsidRPr="002943F5">
              <w:rPr>
                <w:rFonts w:asciiTheme="minorHAnsi" w:hAnsiTheme="minorHAnsi" w:cstheme="minorHAnsi"/>
                <w:sz w:val="24"/>
                <w:szCs w:val="24"/>
              </w:rPr>
              <w:t>Dobry stan infrastruktury drogowej, komunikacyjnej, komunalnej, sportowej i  kulturalnej.</w:t>
            </w:r>
          </w:p>
          <w:p w:rsidR="001957AA" w:rsidRPr="002943F5" w:rsidRDefault="001957AA" w:rsidP="00702A63">
            <w:pPr>
              <w:jc w:val="center"/>
              <w:rPr>
                <w:rFonts w:asciiTheme="minorHAnsi" w:hAnsiTheme="minorHAnsi" w:cstheme="minorHAnsi"/>
                <w:sz w:val="24"/>
                <w:szCs w:val="24"/>
              </w:rPr>
            </w:pPr>
          </w:p>
          <w:p w:rsidR="001957AA" w:rsidRPr="002943F5" w:rsidRDefault="001957AA" w:rsidP="00702A63">
            <w:pPr>
              <w:jc w:val="center"/>
              <w:rPr>
                <w:rFonts w:asciiTheme="minorHAnsi" w:hAnsiTheme="minorHAnsi" w:cstheme="minorHAnsi"/>
                <w:sz w:val="24"/>
                <w:szCs w:val="24"/>
              </w:rPr>
            </w:pPr>
          </w:p>
          <w:p w:rsidR="001957AA" w:rsidRPr="002943F5" w:rsidRDefault="001957AA" w:rsidP="00702A63">
            <w:pPr>
              <w:jc w:val="center"/>
              <w:rPr>
                <w:rFonts w:asciiTheme="minorHAnsi" w:hAnsiTheme="minorHAnsi" w:cstheme="minorHAnsi"/>
                <w:sz w:val="24"/>
                <w:szCs w:val="24"/>
              </w:rPr>
            </w:pPr>
          </w:p>
          <w:p w:rsidR="001957AA" w:rsidRPr="002943F5" w:rsidRDefault="001957AA" w:rsidP="00702A63">
            <w:pPr>
              <w:jc w:val="center"/>
              <w:rPr>
                <w:rFonts w:asciiTheme="minorHAnsi" w:hAnsiTheme="minorHAnsi" w:cstheme="minorHAnsi"/>
                <w:sz w:val="24"/>
                <w:szCs w:val="24"/>
              </w:rPr>
            </w:pPr>
          </w:p>
          <w:p w:rsidR="001957AA" w:rsidRPr="002943F5" w:rsidRDefault="001957AA" w:rsidP="00702A63">
            <w:pPr>
              <w:jc w:val="center"/>
              <w:rPr>
                <w:rFonts w:asciiTheme="minorHAnsi" w:hAnsiTheme="minorHAnsi" w:cstheme="minorHAnsi"/>
                <w:sz w:val="24"/>
                <w:szCs w:val="24"/>
              </w:rPr>
            </w:pPr>
          </w:p>
          <w:p w:rsidR="001957AA" w:rsidRPr="002943F5" w:rsidRDefault="001957AA" w:rsidP="00702A63">
            <w:pPr>
              <w:jc w:val="center"/>
              <w:rPr>
                <w:rFonts w:asciiTheme="minorHAnsi" w:hAnsiTheme="minorHAnsi" w:cstheme="minorHAnsi"/>
                <w:sz w:val="24"/>
                <w:szCs w:val="24"/>
              </w:rPr>
            </w:pPr>
          </w:p>
          <w:p w:rsidR="001957AA" w:rsidRPr="002943F5" w:rsidRDefault="001957AA" w:rsidP="00702A63">
            <w:pPr>
              <w:jc w:val="center"/>
              <w:rPr>
                <w:rFonts w:asciiTheme="minorHAnsi" w:hAnsiTheme="minorHAnsi" w:cstheme="minorHAnsi"/>
                <w:sz w:val="24"/>
                <w:szCs w:val="24"/>
              </w:rPr>
            </w:pPr>
          </w:p>
          <w:p w:rsidR="001957AA" w:rsidRDefault="001957AA" w:rsidP="00702A63">
            <w:pPr>
              <w:jc w:val="center"/>
              <w:rPr>
                <w:rFonts w:asciiTheme="minorHAnsi" w:hAnsiTheme="minorHAnsi" w:cstheme="minorHAnsi"/>
                <w:sz w:val="24"/>
                <w:szCs w:val="24"/>
              </w:rPr>
            </w:pPr>
          </w:p>
          <w:p w:rsidR="002943F5" w:rsidRDefault="002943F5" w:rsidP="00702A63">
            <w:pPr>
              <w:jc w:val="center"/>
              <w:rPr>
                <w:rFonts w:asciiTheme="minorHAnsi" w:hAnsiTheme="minorHAnsi" w:cstheme="minorHAnsi"/>
                <w:sz w:val="24"/>
                <w:szCs w:val="24"/>
              </w:rPr>
            </w:pPr>
          </w:p>
          <w:p w:rsidR="002943F5" w:rsidRDefault="002943F5" w:rsidP="00702A63">
            <w:pPr>
              <w:jc w:val="center"/>
              <w:rPr>
                <w:rFonts w:asciiTheme="minorHAnsi" w:hAnsiTheme="minorHAnsi" w:cstheme="minorHAnsi"/>
                <w:sz w:val="24"/>
                <w:szCs w:val="24"/>
              </w:rPr>
            </w:pPr>
          </w:p>
          <w:p w:rsidR="002943F5" w:rsidRDefault="002943F5" w:rsidP="00702A63">
            <w:pPr>
              <w:jc w:val="center"/>
              <w:rPr>
                <w:rFonts w:asciiTheme="minorHAnsi" w:hAnsiTheme="minorHAnsi" w:cstheme="minorHAnsi"/>
                <w:sz w:val="24"/>
                <w:szCs w:val="24"/>
              </w:rPr>
            </w:pPr>
          </w:p>
          <w:p w:rsidR="002943F5" w:rsidRPr="002943F5" w:rsidRDefault="002943F5" w:rsidP="00702A63">
            <w:pPr>
              <w:jc w:val="center"/>
              <w:rPr>
                <w:rFonts w:asciiTheme="minorHAnsi" w:hAnsiTheme="minorHAnsi" w:cstheme="minorHAnsi"/>
                <w:sz w:val="24"/>
                <w:szCs w:val="24"/>
              </w:rPr>
            </w:pPr>
          </w:p>
          <w:p w:rsidR="001957AA" w:rsidRDefault="001957AA" w:rsidP="00702A63">
            <w:pPr>
              <w:jc w:val="center"/>
              <w:rPr>
                <w:rFonts w:asciiTheme="minorHAnsi" w:hAnsiTheme="minorHAnsi" w:cstheme="minorHAnsi"/>
                <w:sz w:val="24"/>
                <w:szCs w:val="24"/>
              </w:rPr>
            </w:pPr>
          </w:p>
          <w:p w:rsidR="002943F5" w:rsidRDefault="002943F5" w:rsidP="00702A63">
            <w:pPr>
              <w:jc w:val="center"/>
              <w:rPr>
                <w:rFonts w:asciiTheme="minorHAnsi" w:hAnsiTheme="minorHAnsi" w:cstheme="minorHAnsi"/>
                <w:sz w:val="24"/>
                <w:szCs w:val="24"/>
              </w:rPr>
            </w:pPr>
          </w:p>
          <w:p w:rsidR="002943F5" w:rsidRPr="002943F5" w:rsidRDefault="002943F5" w:rsidP="00702A63">
            <w:pPr>
              <w:jc w:val="center"/>
              <w:rPr>
                <w:rFonts w:asciiTheme="minorHAnsi" w:hAnsiTheme="minorHAnsi" w:cstheme="minorHAnsi"/>
                <w:sz w:val="24"/>
                <w:szCs w:val="24"/>
              </w:rPr>
            </w:pPr>
          </w:p>
          <w:p w:rsidR="001957AA" w:rsidRPr="002943F5" w:rsidRDefault="001957AA" w:rsidP="00702A63">
            <w:pPr>
              <w:jc w:val="center"/>
              <w:rPr>
                <w:rFonts w:asciiTheme="minorHAnsi" w:hAnsiTheme="minorHAnsi" w:cstheme="minorHAnsi"/>
                <w:sz w:val="24"/>
                <w:szCs w:val="24"/>
              </w:rPr>
            </w:pPr>
          </w:p>
          <w:p w:rsidR="001957AA" w:rsidRPr="002943F5" w:rsidRDefault="001957AA" w:rsidP="00702A63">
            <w:pPr>
              <w:jc w:val="center"/>
              <w:rPr>
                <w:rFonts w:asciiTheme="minorHAnsi" w:hAnsiTheme="minorHAnsi" w:cstheme="minorHAnsi"/>
                <w:sz w:val="24"/>
                <w:szCs w:val="24"/>
              </w:rPr>
            </w:pPr>
            <w:r w:rsidRPr="002943F5">
              <w:rPr>
                <w:rFonts w:asciiTheme="minorHAnsi" w:hAnsiTheme="minorHAnsi" w:cstheme="minorHAnsi"/>
                <w:sz w:val="24"/>
                <w:szCs w:val="24"/>
              </w:rPr>
              <w:t>Wysoka aktywność ośrodków kultury i organizacji pozarządowych zlokalizowanych na terenie gminy</w:t>
            </w:r>
          </w:p>
          <w:p w:rsidR="001957AA" w:rsidRDefault="001957AA" w:rsidP="00702A63">
            <w:pPr>
              <w:jc w:val="center"/>
              <w:rPr>
                <w:rFonts w:asciiTheme="minorHAnsi" w:hAnsiTheme="minorHAnsi" w:cstheme="minorHAnsi"/>
                <w:sz w:val="24"/>
                <w:szCs w:val="24"/>
              </w:rPr>
            </w:pPr>
            <w:r w:rsidRPr="002943F5">
              <w:rPr>
                <w:rFonts w:asciiTheme="minorHAnsi" w:hAnsiTheme="minorHAnsi" w:cstheme="minorHAnsi"/>
                <w:sz w:val="24"/>
                <w:szCs w:val="24"/>
              </w:rPr>
              <w:t>Gmina Tryńcza posiada uchwaloną Strategię Rozwoju Społeczeństwa Obywatelskiego Gminy Tryńcza</w:t>
            </w:r>
          </w:p>
          <w:p w:rsidR="002943F5" w:rsidRDefault="002943F5" w:rsidP="00702A63">
            <w:pPr>
              <w:jc w:val="center"/>
              <w:rPr>
                <w:rFonts w:asciiTheme="minorHAnsi" w:hAnsiTheme="minorHAnsi" w:cstheme="minorHAnsi"/>
                <w:sz w:val="24"/>
                <w:szCs w:val="24"/>
              </w:rPr>
            </w:pPr>
          </w:p>
          <w:p w:rsidR="002943F5" w:rsidRDefault="002943F5" w:rsidP="00702A63">
            <w:pPr>
              <w:jc w:val="center"/>
              <w:rPr>
                <w:rFonts w:asciiTheme="minorHAnsi" w:hAnsiTheme="minorHAnsi" w:cstheme="minorHAnsi"/>
                <w:sz w:val="24"/>
                <w:szCs w:val="24"/>
              </w:rPr>
            </w:pPr>
          </w:p>
          <w:p w:rsidR="002943F5" w:rsidRDefault="002943F5" w:rsidP="00702A63">
            <w:pPr>
              <w:jc w:val="center"/>
              <w:rPr>
                <w:rFonts w:asciiTheme="minorHAnsi" w:hAnsiTheme="minorHAnsi" w:cstheme="minorHAnsi"/>
                <w:sz w:val="24"/>
                <w:szCs w:val="24"/>
              </w:rPr>
            </w:pPr>
            <w:r>
              <w:rPr>
                <w:rFonts w:asciiTheme="minorHAnsi" w:hAnsiTheme="minorHAnsi" w:cstheme="minorHAnsi"/>
                <w:sz w:val="24"/>
                <w:szCs w:val="24"/>
              </w:rPr>
              <w:t>Duży potencjał rekreacyjny, związany z turystyką weekendową i prozdrowotną</w:t>
            </w:r>
          </w:p>
          <w:p w:rsidR="002943F5" w:rsidRDefault="002943F5" w:rsidP="00702A63">
            <w:pPr>
              <w:jc w:val="center"/>
              <w:rPr>
                <w:rFonts w:asciiTheme="minorHAnsi" w:hAnsiTheme="minorHAnsi" w:cstheme="minorHAnsi"/>
                <w:sz w:val="24"/>
                <w:szCs w:val="24"/>
              </w:rPr>
            </w:pPr>
          </w:p>
          <w:p w:rsidR="002943F5" w:rsidRDefault="002943F5" w:rsidP="00702A63">
            <w:pPr>
              <w:jc w:val="center"/>
              <w:rPr>
                <w:rFonts w:asciiTheme="minorHAnsi" w:hAnsiTheme="minorHAnsi" w:cstheme="minorHAnsi"/>
                <w:sz w:val="24"/>
                <w:szCs w:val="24"/>
              </w:rPr>
            </w:pPr>
          </w:p>
          <w:p w:rsidR="002943F5" w:rsidRDefault="002943F5" w:rsidP="00702A63">
            <w:pPr>
              <w:jc w:val="center"/>
              <w:rPr>
                <w:rFonts w:asciiTheme="minorHAnsi" w:hAnsiTheme="minorHAnsi" w:cstheme="minorHAnsi"/>
                <w:sz w:val="24"/>
                <w:szCs w:val="24"/>
              </w:rPr>
            </w:pPr>
          </w:p>
          <w:p w:rsidR="002943F5" w:rsidRDefault="002943F5" w:rsidP="00702A63">
            <w:pPr>
              <w:jc w:val="center"/>
              <w:rPr>
                <w:rFonts w:asciiTheme="minorHAnsi" w:hAnsiTheme="minorHAnsi" w:cstheme="minorHAnsi"/>
                <w:sz w:val="24"/>
                <w:szCs w:val="24"/>
              </w:rPr>
            </w:pPr>
          </w:p>
          <w:p w:rsidR="002943F5" w:rsidRDefault="002943F5" w:rsidP="00702A63">
            <w:pPr>
              <w:jc w:val="center"/>
              <w:rPr>
                <w:rFonts w:asciiTheme="minorHAnsi" w:hAnsiTheme="minorHAnsi" w:cstheme="minorHAnsi"/>
                <w:sz w:val="24"/>
                <w:szCs w:val="24"/>
              </w:rPr>
            </w:pPr>
          </w:p>
          <w:p w:rsidR="002943F5" w:rsidRDefault="002943F5" w:rsidP="00702A63">
            <w:pPr>
              <w:jc w:val="center"/>
              <w:rPr>
                <w:rFonts w:asciiTheme="minorHAnsi" w:hAnsiTheme="minorHAnsi" w:cstheme="minorHAnsi"/>
                <w:sz w:val="24"/>
                <w:szCs w:val="24"/>
              </w:rPr>
            </w:pPr>
            <w:r>
              <w:rPr>
                <w:rFonts w:asciiTheme="minorHAnsi" w:hAnsiTheme="minorHAnsi" w:cstheme="minorHAnsi"/>
                <w:sz w:val="24"/>
                <w:szCs w:val="24"/>
              </w:rPr>
              <w:t>Wykwalifikowana kadra techniczna</w:t>
            </w:r>
          </w:p>
          <w:p w:rsidR="00B3390E" w:rsidRDefault="00B3390E" w:rsidP="00702A63">
            <w:pPr>
              <w:jc w:val="center"/>
              <w:rPr>
                <w:rFonts w:asciiTheme="minorHAnsi" w:hAnsiTheme="minorHAnsi" w:cstheme="minorHAnsi"/>
                <w:sz w:val="24"/>
                <w:szCs w:val="24"/>
              </w:rPr>
            </w:pPr>
          </w:p>
          <w:p w:rsidR="00B3390E" w:rsidRDefault="00B3390E" w:rsidP="00702A63">
            <w:pPr>
              <w:jc w:val="center"/>
              <w:rPr>
                <w:rFonts w:asciiTheme="minorHAnsi" w:hAnsiTheme="minorHAnsi" w:cstheme="minorHAnsi"/>
                <w:sz w:val="24"/>
                <w:szCs w:val="24"/>
              </w:rPr>
            </w:pPr>
          </w:p>
          <w:p w:rsidR="00B3390E" w:rsidRDefault="00B3390E" w:rsidP="00702A63">
            <w:pPr>
              <w:jc w:val="center"/>
              <w:rPr>
                <w:rFonts w:asciiTheme="minorHAnsi" w:hAnsiTheme="minorHAnsi" w:cstheme="minorHAnsi"/>
                <w:sz w:val="24"/>
                <w:szCs w:val="24"/>
              </w:rPr>
            </w:pPr>
          </w:p>
          <w:p w:rsidR="00B3390E" w:rsidRDefault="00B3390E" w:rsidP="00702A63">
            <w:pPr>
              <w:jc w:val="center"/>
              <w:rPr>
                <w:rFonts w:asciiTheme="minorHAnsi" w:hAnsiTheme="minorHAnsi" w:cstheme="minorHAnsi"/>
                <w:sz w:val="24"/>
                <w:szCs w:val="24"/>
              </w:rPr>
            </w:pPr>
          </w:p>
          <w:p w:rsidR="00B3390E" w:rsidRDefault="00B3390E" w:rsidP="00702A63">
            <w:pPr>
              <w:jc w:val="center"/>
              <w:rPr>
                <w:rFonts w:asciiTheme="minorHAnsi" w:hAnsiTheme="minorHAnsi" w:cstheme="minorHAnsi"/>
                <w:sz w:val="24"/>
                <w:szCs w:val="24"/>
              </w:rPr>
            </w:pPr>
            <w:r>
              <w:rPr>
                <w:rFonts w:asciiTheme="minorHAnsi" w:hAnsiTheme="minorHAnsi" w:cstheme="minorHAnsi"/>
                <w:sz w:val="24"/>
                <w:szCs w:val="24"/>
              </w:rPr>
              <w:t>Gmina posiada wolne tereny inwestycyjne</w:t>
            </w:r>
          </w:p>
          <w:p w:rsidR="00702A63" w:rsidRDefault="00702A63" w:rsidP="00702A63">
            <w:pPr>
              <w:jc w:val="center"/>
              <w:rPr>
                <w:rFonts w:asciiTheme="minorHAnsi" w:hAnsiTheme="minorHAnsi" w:cstheme="minorHAnsi"/>
                <w:sz w:val="24"/>
                <w:szCs w:val="24"/>
              </w:rPr>
            </w:pPr>
          </w:p>
          <w:p w:rsidR="00702A63" w:rsidRDefault="00702A63" w:rsidP="00702A63">
            <w:pPr>
              <w:jc w:val="center"/>
              <w:rPr>
                <w:rFonts w:asciiTheme="minorHAnsi" w:hAnsiTheme="minorHAnsi" w:cstheme="minorHAnsi"/>
                <w:sz w:val="24"/>
                <w:szCs w:val="24"/>
              </w:rPr>
            </w:pPr>
          </w:p>
          <w:p w:rsidR="00702A63" w:rsidRPr="002943F5" w:rsidRDefault="00702A63" w:rsidP="00702A63">
            <w:pPr>
              <w:jc w:val="center"/>
              <w:rPr>
                <w:rFonts w:asciiTheme="minorHAnsi" w:hAnsiTheme="minorHAnsi" w:cstheme="minorHAnsi"/>
                <w:sz w:val="24"/>
                <w:szCs w:val="24"/>
              </w:rPr>
            </w:pPr>
            <w:r>
              <w:rPr>
                <w:rFonts w:asciiTheme="minorHAnsi" w:hAnsiTheme="minorHAnsi" w:cstheme="minorHAnsi"/>
                <w:sz w:val="24"/>
                <w:szCs w:val="24"/>
              </w:rPr>
              <w:t>Przybywa ludności w wieku przedprodukcyjnym</w:t>
            </w:r>
          </w:p>
        </w:tc>
        <w:tc>
          <w:tcPr>
            <w:tcW w:w="4606" w:type="dxa"/>
          </w:tcPr>
          <w:p w:rsidR="00525163" w:rsidRPr="002943F5" w:rsidRDefault="001957AA" w:rsidP="00702A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943F5">
              <w:rPr>
                <w:rFonts w:asciiTheme="minorHAnsi" w:hAnsiTheme="minorHAnsi" w:cstheme="minorHAnsi"/>
                <w:sz w:val="24"/>
                <w:szCs w:val="24"/>
              </w:rPr>
              <w:t>Utrzymanie infrastruktury drogowej (odśnieżanie, energia elektryczna oświetlenia, bieżące remonty) stanowi znaczące obciążenie budżetu gminy</w:t>
            </w:r>
          </w:p>
          <w:p w:rsidR="001957AA" w:rsidRPr="002943F5" w:rsidRDefault="001957AA" w:rsidP="00702A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943F5">
              <w:rPr>
                <w:rFonts w:asciiTheme="minorHAnsi" w:hAnsiTheme="minorHAnsi" w:cstheme="minorHAnsi"/>
                <w:sz w:val="24"/>
                <w:szCs w:val="24"/>
              </w:rPr>
              <w:t>Utrzymanie kubaturowej infrastruktury gminnej (oświetlenie i bieżące remonty) stanowi znaczące obciążenie budżetu gminy</w:t>
            </w:r>
          </w:p>
          <w:p w:rsidR="001957AA" w:rsidRDefault="001957AA" w:rsidP="00702A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943F5">
              <w:rPr>
                <w:rFonts w:asciiTheme="minorHAnsi" w:hAnsiTheme="minorHAnsi" w:cstheme="minorHAnsi"/>
                <w:sz w:val="24"/>
                <w:szCs w:val="24"/>
              </w:rPr>
              <w:t>Na terenie gminy brakuje infrastruktury z przeznaczeniem na mieszkania socjalne, dzienne domy opieki, kluby seniora wraz z opieką rehabilitanta czy psychologa, stacjonarnych domów pomocy społecznej, warsztatów terapii zajęciowej czy świetlic socjoterapeutycznych.</w:t>
            </w:r>
          </w:p>
          <w:p w:rsidR="002943F5" w:rsidRDefault="002943F5" w:rsidP="00702A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943F5">
              <w:rPr>
                <w:rFonts w:asciiTheme="minorHAnsi" w:hAnsiTheme="minorHAnsi" w:cstheme="minorHAnsi"/>
                <w:sz w:val="24"/>
                <w:szCs w:val="24"/>
              </w:rPr>
              <w:t>Infrastruktura szkolna wymaga remontów, organizacji przestrzeni wokół szkół oraz doposażenia w najnowszą technologię i materiały edukacyjne.</w:t>
            </w:r>
          </w:p>
          <w:p w:rsidR="002943F5" w:rsidRDefault="002943F5" w:rsidP="00702A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rsidR="002943F5" w:rsidRPr="002943F5" w:rsidRDefault="002943F5" w:rsidP="00702A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rsidR="001957AA" w:rsidRDefault="001957AA" w:rsidP="00702A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943F5">
              <w:rPr>
                <w:rFonts w:asciiTheme="minorHAnsi" w:hAnsiTheme="minorHAnsi" w:cstheme="minorHAnsi"/>
                <w:sz w:val="24"/>
                <w:szCs w:val="24"/>
              </w:rPr>
              <w:t xml:space="preserve">Niskie wskaźniki nasyceniem organizacjami pozarządowymi na 10 000 </w:t>
            </w:r>
            <w:r w:rsidR="002943F5" w:rsidRPr="002943F5">
              <w:rPr>
                <w:rFonts w:asciiTheme="minorHAnsi" w:hAnsiTheme="minorHAnsi" w:cstheme="minorHAnsi"/>
                <w:sz w:val="24"/>
                <w:szCs w:val="24"/>
              </w:rPr>
              <w:t>mieszkańców</w:t>
            </w:r>
          </w:p>
          <w:p w:rsidR="002943F5" w:rsidRDefault="002943F5" w:rsidP="00702A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rsidR="002943F5" w:rsidRDefault="002943F5" w:rsidP="00702A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rsidR="002943F5" w:rsidRDefault="002943F5" w:rsidP="00702A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rsidR="002943F5" w:rsidRDefault="002943F5" w:rsidP="00702A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rsidR="002943F5" w:rsidRDefault="002943F5" w:rsidP="00702A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rsidR="002943F5" w:rsidRDefault="002943F5" w:rsidP="00702A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rsidR="002943F5" w:rsidRDefault="002943F5" w:rsidP="00702A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Do największych problemów demograficznych zalicza się  starzenie się społeczeństwa</w:t>
            </w:r>
          </w:p>
          <w:p w:rsidR="002943F5" w:rsidRDefault="002943F5" w:rsidP="00702A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943F5">
              <w:rPr>
                <w:rFonts w:asciiTheme="minorHAnsi" w:hAnsiTheme="minorHAnsi" w:cstheme="minorHAnsi"/>
                <w:sz w:val="24"/>
                <w:szCs w:val="24"/>
              </w:rPr>
              <w:t>do największych problemów społecznych mieszkańców gminy należą bezrobocie i ubóstwo</w:t>
            </w:r>
          </w:p>
          <w:p w:rsidR="002943F5" w:rsidRDefault="002943F5" w:rsidP="00702A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rsidR="002943F5" w:rsidRDefault="002943F5" w:rsidP="00702A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w latach 2012-2015 ponad 600 osób straciło prace w wyniku upadłości fabryki wagonów w Gniewczynie Łańcuckiej.</w:t>
            </w:r>
          </w:p>
          <w:p w:rsidR="00702A63" w:rsidRDefault="00702A63" w:rsidP="00702A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rsidR="00702A63" w:rsidRDefault="00702A63" w:rsidP="00702A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rsidR="002943F5" w:rsidRDefault="002943F5" w:rsidP="00702A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Na terenie Gminy nie ma średnich i dużych przedsiębiorstw.</w:t>
            </w:r>
          </w:p>
          <w:p w:rsidR="002943F5" w:rsidRDefault="002943F5" w:rsidP="00702A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rsidR="002943F5" w:rsidRPr="002943F5" w:rsidRDefault="00702A63" w:rsidP="00702A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Na terenie gminy nie ma ani żłobków ani szkół średnich</w:t>
            </w:r>
          </w:p>
        </w:tc>
      </w:tr>
    </w:tbl>
    <w:p w:rsidR="001A0127" w:rsidRDefault="00702A63" w:rsidP="00702A63">
      <w:pPr>
        <w:pStyle w:val="Nagwek1"/>
        <w:jc w:val="both"/>
      </w:pPr>
      <w:bookmarkStart w:id="81" w:name="_Toc496558078"/>
      <w:r>
        <w:lastRenderedPageBreak/>
        <w:t>Analiza według k</w:t>
      </w:r>
      <w:r w:rsidR="001A0127">
        <w:t>ryteri</w:t>
      </w:r>
      <w:r>
        <w:t>ów</w:t>
      </w:r>
      <w:r w:rsidR="001A0127">
        <w:t xml:space="preserve"> delim</w:t>
      </w:r>
      <w:r>
        <w:t>itacji obszaru zdegradowanego i </w:t>
      </w:r>
      <w:r w:rsidR="001A0127">
        <w:t>obszaru rewitalizacji</w:t>
      </w:r>
      <w:r w:rsidR="00C06E9C">
        <w:t xml:space="preserve"> według instrukcji Samorządu Województwa Podkarpackiego</w:t>
      </w:r>
      <w:bookmarkEnd w:id="81"/>
    </w:p>
    <w:p w:rsidR="001A0127" w:rsidRDefault="001A0127" w:rsidP="001A0127"/>
    <w:p w:rsidR="00702A63" w:rsidRDefault="00702A63" w:rsidP="00702A63">
      <w:pPr>
        <w:ind w:firstLine="708"/>
        <w:jc w:val="both"/>
      </w:pPr>
      <w:r w:rsidRPr="00702A63">
        <w:t>W celu wytypowania obszarów kryzysowych w gminie niezbędna jest analiza zróżnicowania wewnętrznego różnorodnych zjawisk w niej zachodzących. Do takiej analizy konieczny jest podział przestrzeni gminy na jednostki podstawowe, które stanowić będą pewne najmniejsze, niepodzielne już w procesie analizy obszarów, dla których przeprowadzana będzie agregacja danych.</w:t>
      </w:r>
      <w:r>
        <w:rPr>
          <w:rStyle w:val="Odwoanieprzypisudolnego"/>
        </w:rPr>
        <w:footnoteReference w:id="5"/>
      </w:r>
      <w:r>
        <w:t xml:space="preserve"> Na potrzeby delimitacji obszaru kryzysowego w gminie Tryńcza przyjęto do diagnozy podział na sołectwa.</w:t>
      </w:r>
    </w:p>
    <w:p w:rsidR="00702A63" w:rsidRDefault="00702A63" w:rsidP="00702A63">
      <w:pPr>
        <w:ind w:firstLine="708"/>
        <w:jc w:val="both"/>
      </w:pPr>
      <w:r>
        <w:t xml:space="preserve">Wytyczne Ministra Rozwoju w zakresie rewitalizacji w programach operacyjnych na lata 2014-2020 (wersja z sierpnia 2016 r.; dalej: „Wytyczne Ministra Rozwoju”)definiują stan kryzysowy w sposób nieco bardziej rozbudowany niż </w:t>
      </w:r>
      <w:r>
        <w:rPr>
          <w:i/>
          <w:iCs/>
        </w:rPr>
        <w:t xml:space="preserve">Ustawa o </w:t>
      </w:r>
      <w:r w:rsidR="00763DD6">
        <w:rPr>
          <w:i/>
          <w:iCs/>
        </w:rPr>
        <w:t>rewitalizacji</w:t>
      </w:r>
      <w:r>
        <w:rPr>
          <w:i/>
          <w:iCs/>
        </w:rPr>
        <w:t xml:space="preserve"> </w:t>
      </w:r>
      <w:r>
        <w:t xml:space="preserve">- jako stan spowodowany koncentracją negatywnych zjawisk w zdegradowanych obszarach, których </w:t>
      </w:r>
      <w:r>
        <w:rPr>
          <w:b/>
          <w:bCs/>
        </w:rPr>
        <w:t xml:space="preserve">skala i dynamika </w:t>
      </w:r>
      <w:r>
        <w:t xml:space="preserve">(czyli zmiany w czasie, obserwowane trendy) </w:t>
      </w:r>
      <w:r>
        <w:rPr>
          <w:b/>
          <w:bCs/>
        </w:rPr>
        <w:t>mierzone są w odniesieniu do wszystkich sfer tj. społecznej, gospodarczej, środowiskowej, przestrzenno-funkcjonalnej oraz technicznej w odniesieniu do wartości dla całej gminy.</w:t>
      </w:r>
      <w:r w:rsidR="00763DD6">
        <w:rPr>
          <w:rStyle w:val="Odwoanieprzypisudolnego"/>
          <w:b/>
          <w:bCs/>
        </w:rPr>
        <w:footnoteReference w:id="6"/>
      </w:r>
      <w:r w:rsidR="00763DD6">
        <w:rPr>
          <w:b/>
          <w:bCs/>
        </w:rPr>
        <w:t xml:space="preserve"> </w:t>
      </w:r>
    </w:p>
    <w:p w:rsidR="00702A63" w:rsidRDefault="00763DD6" w:rsidP="00763DD6">
      <w:pPr>
        <w:ind w:firstLine="708"/>
        <w:jc w:val="both"/>
      </w:pPr>
      <w:r>
        <w:t xml:space="preserve">W województwie podkarpackim poza spełnieniem Wytycznych Ministerstwa Rozwoju projektom rewitalizacyjnym oraz  GPR stawiane są dodatkowe wymagania, także w odniesieniu do sposobu przeprowadzenia diagnozy(np. wymaga się użycia konkretnych mierników w analizie). </w:t>
      </w:r>
      <w:r w:rsidR="00DD2B32">
        <w:t>W </w:t>
      </w:r>
      <w:r>
        <w:t xml:space="preserve">nieniejszym podrozdziale zostały opisane wyniki analizy według kryteriów i wskaźników wyznaczonych w </w:t>
      </w:r>
      <w:r w:rsidRPr="007C3562">
        <w:rPr>
          <w:i/>
        </w:rPr>
        <w:t>Instrukcj</w:t>
      </w:r>
      <w:r>
        <w:rPr>
          <w:i/>
        </w:rPr>
        <w:t>i</w:t>
      </w:r>
      <w:r w:rsidRPr="007C3562">
        <w:rPr>
          <w:i/>
        </w:rPr>
        <w:t xml:space="preserve"> przygotowania programów rewitalizacji w zakresie wsparcia w ramach Regionalnego Programu Operacyjnego Województwa Podkarpackiego na lata 2014-2020</w:t>
      </w:r>
      <w:r>
        <w:rPr>
          <w:i/>
        </w:rPr>
        <w:t xml:space="preserve"> </w:t>
      </w:r>
      <w:r w:rsidR="00DD2B32">
        <w:t>(zwaną w </w:t>
      </w:r>
      <w:r w:rsidRPr="00763DD6">
        <w:t>dalszej części dokumentu Instrukcją).</w:t>
      </w:r>
    </w:p>
    <w:p w:rsidR="001A0127" w:rsidRDefault="00763DD6" w:rsidP="0080043B">
      <w:pPr>
        <w:ind w:firstLine="708"/>
        <w:jc w:val="both"/>
      </w:pPr>
      <w:r>
        <w:t>Zgodnie z Instrukcją w</w:t>
      </w:r>
      <w:r w:rsidR="001A0127">
        <w:t xml:space="preserve">ymagane jest wskazanie, że wyznaczony zgodnie z Wytycznymi Ministra obszar rewitalizacji charakteryzuje minimum 4 z niżej wymienionych wskaźników (maksymalnie po 1 z każdej kategorii), dla których wartości oszacowane dla tego obszaru są mniej korzystne niż wartości referencyjne dla województwa podkarpackiego. Wybór każdorazowo powinien być uzasadniony. </w:t>
      </w:r>
    </w:p>
    <w:p w:rsidR="0080043B" w:rsidRDefault="001A0127" w:rsidP="007C3562">
      <w:pPr>
        <w:ind w:firstLine="708"/>
        <w:jc w:val="both"/>
      </w:pPr>
      <w:r>
        <w:t xml:space="preserve">Gmina pozyskała dane dla obszaru rewitalizacji z dostępnych źródeł (statystyka publiczna nie podaje danych na poziomie niższym niż NTS -5), uwzględniając opisaną </w:t>
      </w:r>
      <w:r w:rsidR="0080043B">
        <w:t xml:space="preserve">w instrukcji </w:t>
      </w:r>
      <w:r>
        <w:t xml:space="preserve">metodologię. </w:t>
      </w:r>
      <w:r w:rsidR="00D164AF">
        <w:t>Jednostka przestrzenna (mniejsza niż region statystyczny poziomu NTS 5) została określona jako miejscowość, w granicach administracyjnych miejscowości. Na tym poziomie skupia się więc agregacja danych.</w:t>
      </w:r>
    </w:p>
    <w:p w:rsidR="00763DD6" w:rsidRDefault="00763DD6" w:rsidP="007C3562">
      <w:pPr>
        <w:ind w:firstLine="708"/>
        <w:jc w:val="both"/>
      </w:pPr>
    </w:p>
    <w:p w:rsidR="00763DD6" w:rsidRDefault="00763DD6" w:rsidP="007C3562">
      <w:pPr>
        <w:ind w:firstLine="708"/>
        <w:jc w:val="both"/>
      </w:pPr>
    </w:p>
    <w:p w:rsidR="0080043B" w:rsidRDefault="0080043B" w:rsidP="0080043B">
      <w:pPr>
        <w:pStyle w:val="Nagwek2"/>
      </w:pPr>
      <w:bookmarkStart w:id="82" w:name="_Toc496558079"/>
      <w:r w:rsidRPr="0080043B">
        <w:lastRenderedPageBreak/>
        <w:t>Kategoria: demografia</w:t>
      </w:r>
      <w:bookmarkEnd w:id="82"/>
    </w:p>
    <w:p w:rsidR="00D164AF" w:rsidRDefault="007C3562" w:rsidP="00D164AF">
      <w:pPr>
        <w:jc w:val="both"/>
      </w:pPr>
      <w:r>
        <w:br/>
      </w:r>
      <w:r w:rsidR="00D164AF">
        <w:t xml:space="preserve">Zgodnie z </w:t>
      </w:r>
      <w:r w:rsidR="00D164AF" w:rsidRPr="007C3562">
        <w:rPr>
          <w:i/>
        </w:rPr>
        <w:t>Instrukcją przygotowania programów rewitalizacji w zakresie wsparcia w ramach Regionalnego Programu Operacyjnego Województwa Podkarpackiego na lata 2014-2020</w:t>
      </w:r>
      <w:r w:rsidR="00D164AF">
        <w:t>, zwana dalej Instrukcją</w:t>
      </w:r>
      <w:r w:rsidR="00D164AF">
        <w:rPr>
          <w:rStyle w:val="Odwoanieprzypisudolnego"/>
        </w:rPr>
        <w:footnoteReference w:id="7"/>
      </w:r>
      <w:r w:rsidR="00D164AF">
        <w:t xml:space="preserve"> w kategorii demografia określono następujące wskaźniki: </w:t>
      </w:r>
    </w:p>
    <w:p w:rsidR="0080043B" w:rsidRDefault="0080043B" w:rsidP="0080043B">
      <w:pPr>
        <w:pStyle w:val="Akapitzlist"/>
        <w:numPr>
          <w:ilvl w:val="0"/>
          <w:numId w:val="2"/>
        </w:numPr>
        <w:jc w:val="both"/>
      </w:pPr>
      <w:r>
        <w:t>Saldo migracji na pobyt stały w przeliczeniu na 100 osób wg faktycznego miejsca zamieszkania</w:t>
      </w:r>
    </w:p>
    <w:p w:rsidR="00D164AF" w:rsidRDefault="00D164AF" w:rsidP="00D164AF">
      <w:pPr>
        <w:pStyle w:val="Legenda"/>
      </w:pPr>
      <w:bookmarkStart w:id="83" w:name="_Toc495887804"/>
      <w:r>
        <w:t xml:space="preserve">Tabela </w:t>
      </w:r>
      <w:r w:rsidR="00172343">
        <w:fldChar w:fldCharType="begin"/>
      </w:r>
      <w:r w:rsidR="00172343">
        <w:instrText xml:space="preserve"> SEQ Tabela \* ARABIC </w:instrText>
      </w:r>
      <w:r w:rsidR="00172343">
        <w:fldChar w:fldCharType="separate"/>
      </w:r>
      <w:r w:rsidR="00D67FEC">
        <w:rPr>
          <w:noProof/>
        </w:rPr>
        <w:t>15</w:t>
      </w:r>
      <w:r w:rsidR="00172343">
        <w:rPr>
          <w:noProof/>
        </w:rPr>
        <w:fldChar w:fldCharType="end"/>
      </w:r>
      <w:r>
        <w:t xml:space="preserve"> Wskaźnik referencyjny oraz wskaźnik „</w:t>
      </w:r>
      <w:r w:rsidRPr="00D164AF">
        <w:t>Saldo migracji na pobyt stały w przeliczeniu na 100 osób wg faktycznego miejsca zamieszkania</w:t>
      </w:r>
      <w:r>
        <w:t>” dla poszczególnych miejscowości</w:t>
      </w:r>
      <w:bookmarkEnd w:id="83"/>
    </w:p>
    <w:tbl>
      <w:tblPr>
        <w:tblW w:w="10129" w:type="dxa"/>
        <w:tblInd w:w="-497" w:type="dxa"/>
        <w:tblLayout w:type="fixed"/>
        <w:tblCellMar>
          <w:left w:w="70" w:type="dxa"/>
          <w:right w:w="70" w:type="dxa"/>
        </w:tblCellMar>
        <w:tblLook w:val="04A0" w:firstRow="1" w:lastRow="0" w:firstColumn="1" w:lastColumn="0" w:noHBand="0" w:noVBand="1"/>
      </w:tblPr>
      <w:tblGrid>
        <w:gridCol w:w="316"/>
        <w:gridCol w:w="317"/>
        <w:gridCol w:w="316"/>
        <w:gridCol w:w="317"/>
        <w:gridCol w:w="316"/>
        <w:gridCol w:w="317"/>
        <w:gridCol w:w="316"/>
        <w:gridCol w:w="317"/>
        <w:gridCol w:w="316"/>
        <w:gridCol w:w="317"/>
        <w:gridCol w:w="316"/>
        <w:gridCol w:w="317"/>
        <w:gridCol w:w="316"/>
        <w:gridCol w:w="317"/>
        <w:gridCol w:w="316"/>
        <w:gridCol w:w="317"/>
        <w:gridCol w:w="317"/>
        <w:gridCol w:w="316"/>
        <w:gridCol w:w="317"/>
        <w:gridCol w:w="316"/>
        <w:gridCol w:w="317"/>
        <w:gridCol w:w="316"/>
        <w:gridCol w:w="317"/>
        <w:gridCol w:w="316"/>
        <w:gridCol w:w="317"/>
        <w:gridCol w:w="316"/>
        <w:gridCol w:w="317"/>
        <w:gridCol w:w="316"/>
        <w:gridCol w:w="317"/>
        <w:gridCol w:w="316"/>
        <w:gridCol w:w="317"/>
        <w:gridCol w:w="317"/>
      </w:tblGrid>
      <w:tr w:rsidR="007C3562" w:rsidRPr="00D164AF" w:rsidTr="007C3562">
        <w:trPr>
          <w:trHeight w:val="2891"/>
        </w:trPr>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164AF" w:rsidRPr="00D164AF" w:rsidRDefault="00D164AF" w:rsidP="007C3562">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dane referencyjne 2014</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164AF" w:rsidRPr="00D164AF" w:rsidRDefault="00D164AF" w:rsidP="007C3562">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POWIAT PRZEWORSKI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(ogółem)</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(mężczyźni)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(kobiety)</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(ogółem)</w:t>
            </w:r>
          </w:p>
        </w:tc>
        <w:tc>
          <w:tcPr>
            <w:tcW w:w="316"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(mężczyźni)</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(kobiety)</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(ogółem)</w:t>
            </w:r>
          </w:p>
        </w:tc>
        <w:tc>
          <w:tcPr>
            <w:tcW w:w="317"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(mężczyźni)</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(kobiety)</w:t>
            </w:r>
          </w:p>
        </w:tc>
        <w:tc>
          <w:tcPr>
            <w:tcW w:w="316"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(ogółem)</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(mężczyźni)</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(kobiety)</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(ogółem)</w:t>
            </w:r>
          </w:p>
        </w:tc>
        <w:tc>
          <w:tcPr>
            <w:tcW w:w="317"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(mężczyźni)</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(kobiety)</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(ogółem)</w:t>
            </w:r>
          </w:p>
        </w:tc>
        <w:tc>
          <w:tcPr>
            <w:tcW w:w="317"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(mężczyźni)</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(kobiety)</w:t>
            </w:r>
          </w:p>
        </w:tc>
        <w:tc>
          <w:tcPr>
            <w:tcW w:w="316"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(ogółem)</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(mężczyźni)</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(kobiety)</w:t>
            </w:r>
          </w:p>
        </w:tc>
      </w:tr>
      <w:tr w:rsidR="007C3562" w:rsidRPr="00D164AF" w:rsidTr="007C3562">
        <w:trPr>
          <w:trHeight w:val="708"/>
        </w:trPr>
        <w:tc>
          <w:tcPr>
            <w:tcW w:w="316" w:type="dxa"/>
            <w:tcBorders>
              <w:top w:val="nil"/>
              <w:left w:val="nil"/>
              <w:bottom w:val="single" w:sz="4" w:space="0" w:color="auto"/>
              <w:right w:val="single" w:sz="4" w:space="0" w:color="auto"/>
            </w:tcBorders>
            <w:shd w:val="clear" w:color="auto" w:fill="auto"/>
            <w:noWrap/>
            <w:textDirection w:val="btLr"/>
            <w:vAlign w:val="bottom"/>
            <w:hideMark/>
          </w:tcPr>
          <w:p w:rsidR="00D164AF" w:rsidRPr="00D164AF" w:rsidRDefault="00D164AF" w:rsidP="007C3562">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-0,11</w:t>
            </w:r>
          </w:p>
        </w:tc>
        <w:tc>
          <w:tcPr>
            <w:tcW w:w="317" w:type="dxa"/>
            <w:tcBorders>
              <w:top w:val="nil"/>
              <w:left w:val="nil"/>
              <w:bottom w:val="single" w:sz="4" w:space="0" w:color="auto"/>
              <w:right w:val="single" w:sz="4" w:space="0" w:color="auto"/>
            </w:tcBorders>
            <w:shd w:val="clear" w:color="auto" w:fill="auto"/>
            <w:noWrap/>
            <w:textDirection w:val="btLr"/>
            <w:vAlign w:val="bottom"/>
            <w:hideMark/>
          </w:tcPr>
          <w:p w:rsidR="00D164AF" w:rsidRPr="00D164AF" w:rsidRDefault="00D164AF" w:rsidP="007C3562">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-0,0018</w:t>
            </w:r>
          </w:p>
        </w:tc>
        <w:tc>
          <w:tcPr>
            <w:tcW w:w="316" w:type="dxa"/>
            <w:tcBorders>
              <w:top w:val="nil"/>
              <w:left w:val="nil"/>
              <w:bottom w:val="single" w:sz="4" w:space="0" w:color="auto"/>
              <w:right w:val="single" w:sz="4" w:space="0" w:color="auto"/>
            </w:tcBorders>
            <w:shd w:val="clear" w:color="auto" w:fill="auto"/>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0,95</w:t>
            </w:r>
          </w:p>
        </w:tc>
        <w:tc>
          <w:tcPr>
            <w:tcW w:w="317" w:type="dxa"/>
            <w:tcBorders>
              <w:top w:val="nil"/>
              <w:left w:val="nil"/>
              <w:bottom w:val="single" w:sz="4" w:space="0" w:color="auto"/>
              <w:right w:val="single" w:sz="4" w:space="0" w:color="auto"/>
            </w:tcBorders>
            <w:shd w:val="clear" w:color="auto" w:fill="auto"/>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0,95</w:t>
            </w:r>
          </w:p>
        </w:tc>
        <w:tc>
          <w:tcPr>
            <w:tcW w:w="316" w:type="dxa"/>
            <w:tcBorders>
              <w:top w:val="nil"/>
              <w:left w:val="nil"/>
              <w:bottom w:val="single" w:sz="4" w:space="0" w:color="auto"/>
              <w:right w:val="single" w:sz="4" w:space="0" w:color="auto"/>
            </w:tcBorders>
            <w:shd w:val="clear" w:color="auto" w:fill="auto"/>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0,95</w:t>
            </w:r>
          </w:p>
        </w:tc>
        <w:tc>
          <w:tcPr>
            <w:tcW w:w="317" w:type="dxa"/>
            <w:tcBorders>
              <w:top w:val="nil"/>
              <w:left w:val="nil"/>
              <w:bottom w:val="single" w:sz="4" w:space="0" w:color="auto"/>
              <w:right w:val="single" w:sz="4" w:space="0" w:color="auto"/>
            </w:tcBorders>
            <w:shd w:val="clear" w:color="000000" w:fill="FDE9D9"/>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1,7</w:t>
            </w:r>
          </w:p>
        </w:tc>
        <w:tc>
          <w:tcPr>
            <w:tcW w:w="316" w:type="dxa"/>
            <w:tcBorders>
              <w:top w:val="nil"/>
              <w:left w:val="nil"/>
              <w:bottom w:val="single" w:sz="4" w:space="0" w:color="auto"/>
              <w:right w:val="single" w:sz="4" w:space="0" w:color="auto"/>
            </w:tcBorders>
            <w:shd w:val="clear" w:color="000000" w:fill="FDE9D9"/>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0,64</w:t>
            </w:r>
          </w:p>
        </w:tc>
        <w:tc>
          <w:tcPr>
            <w:tcW w:w="317" w:type="dxa"/>
            <w:tcBorders>
              <w:top w:val="nil"/>
              <w:left w:val="nil"/>
              <w:bottom w:val="single" w:sz="4" w:space="0" w:color="auto"/>
              <w:right w:val="single" w:sz="4" w:space="0" w:color="auto"/>
            </w:tcBorders>
            <w:shd w:val="clear" w:color="000000" w:fill="FDE9D9"/>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2,76</w:t>
            </w:r>
          </w:p>
        </w:tc>
        <w:tc>
          <w:tcPr>
            <w:tcW w:w="316" w:type="dxa"/>
            <w:tcBorders>
              <w:top w:val="nil"/>
              <w:left w:val="nil"/>
              <w:bottom w:val="single" w:sz="4" w:space="0" w:color="auto"/>
              <w:right w:val="single" w:sz="4" w:space="0" w:color="auto"/>
            </w:tcBorders>
            <w:shd w:val="clear" w:color="000000" w:fill="DAEEF3"/>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0,045</w:t>
            </w:r>
          </w:p>
        </w:tc>
        <w:tc>
          <w:tcPr>
            <w:tcW w:w="317" w:type="dxa"/>
            <w:tcBorders>
              <w:top w:val="nil"/>
              <w:left w:val="nil"/>
              <w:bottom w:val="single" w:sz="4" w:space="0" w:color="auto"/>
              <w:right w:val="single" w:sz="4" w:space="0" w:color="auto"/>
            </w:tcBorders>
            <w:shd w:val="clear" w:color="000000" w:fill="DAEEF3"/>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w:t>
            </w:r>
          </w:p>
        </w:tc>
        <w:tc>
          <w:tcPr>
            <w:tcW w:w="316" w:type="dxa"/>
            <w:tcBorders>
              <w:top w:val="nil"/>
              <w:left w:val="nil"/>
              <w:bottom w:val="single" w:sz="4" w:space="0" w:color="auto"/>
              <w:right w:val="single" w:sz="4" w:space="0" w:color="auto"/>
            </w:tcBorders>
            <w:shd w:val="clear" w:color="000000" w:fill="DAEEF3"/>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0,09</w:t>
            </w:r>
          </w:p>
        </w:tc>
        <w:tc>
          <w:tcPr>
            <w:tcW w:w="317" w:type="dxa"/>
            <w:tcBorders>
              <w:top w:val="nil"/>
              <w:left w:val="nil"/>
              <w:bottom w:val="single" w:sz="4" w:space="0" w:color="auto"/>
              <w:right w:val="single" w:sz="4" w:space="0" w:color="auto"/>
            </w:tcBorders>
            <w:shd w:val="clear" w:color="auto" w:fill="auto"/>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0,81</w:t>
            </w:r>
          </w:p>
        </w:tc>
        <w:tc>
          <w:tcPr>
            <w:tcW w:w="316" w:type="dxa"/>
            <w:tcBorders>
              <w:top w:val="nil"/>
              <w:left w:val="nil"/>
              <w:bottom w:val="single" w:sz="4" w:space="0" w:color="auto"/>
              <w:right w:val="single" w:sz="4" w:space="0" w:color="auto"/>
            </w:tcBorders>
            <w:shd w:val="clear" w:color="auto" w:fill="auto"/>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0,91</w:t>
            </w:r>
          </w:p>
        </w:tc>
        <w:tc>
          <w:tcPr>
            <w:tcW w:w="317" w:type="dxa"/>
            <w:tcBorders>
              <w:top w:val="nil"/>
              <w:left w:val="nil"/>
              <w:bottom w:val="single" w:sz="4" w:space="0" w:color="auto"/>
              <w:right w:val="single" w:sz="4" w:space="0" w:color="auto"/>
            </w:tcBorders>
            <w:shd w:val="clear" w:color="auto" w:fill="auto"/>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0,71</w:t>
            </w:r>
          </w:p>
        </w:tc>
        <w:tc>
          <w:tcPr>
            <w:tcW w:w="316" w:type="dxa"/>
            <w:tcBorders>
              <w:top w:val="nil"/>
              <w:left w:val="nil"/>
              <w:bottom w:val="single" w:sz="4" w:space="0" w:color="auto"/>
              <w:right w:val="single" w:sz="4" w:space="0" w:color="auto"/>
            </w:tcBorders>
            <w:shd w:val="clear" w:color="000000" w:fill="E4DFEC"/>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0,515</w:t>
            </w:r>
          </w:p>
        </w:tc>
        <w:tc>
          <w:tcPr>
            <w:tcW w:w="317" w:type="dxa"/>
            <w:tcBorders>
              <w:top w:val="nil"/>
              <w:left w:val="nil"/>
              <w:bottom w:val="single" w:sz="4" w:space="0" w:color="auto"/>
              <w:right w:val="single" w:sz="4" w:space="0" w:color="auto"/>
            </w:tcBorders>
            <w:shd w:val="clear" w:color="000000" w:fill="E4DFEC"/>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0,62</w:t>
            </w:r>
          </w:p>
        </w:tc>
        <w:tc>
          <w:tcPr>
            <w:tcW w:w="317" w:type="dxa"/>
            <w:tcBorders>
              <w:top w:val="nil"/>
              <w:left w:val="nil"/>
              <w:bottom w:val="single" w:sz="4" w:space="0" w:color="auto"/>
              <w:right w:val="single" w:sz="4" w:space="0" w:color="auto"/>
            </w:tcBorders>
            <w:shd w:val="clear" w:color="000000" w:fill="E4DFEC"/>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0,41</w:t>
            </w:r>
          </w:p>
        </w:tc>
        <w:tc>
          <w:tcPr>
            <w:tcW w:w="316" w:type="dxa"/>
            <w:tcBorders>
              <w:top w:val="nil"/>
              <w:left w:val="nil"/>
              <w:bottom w:val="single" w:sz="4" w:space="0" w:color="auto"/>
              <w:right w:val="single" w:sz="4" w:space="0" w:color="auto"/>
            </w:tcBorders>
            <w:shd w:val="clear" w:color="000000" w:fill="EBF1DE"/>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1,135</w:t>
            </w:r>
          </w:p>
        </w:tc>
        <w:tc>
          <w:tcPr>
            <w:tcW w:w="317" w:type="dxa"/>
            <w:tcBorders>
              <w:top w:val="nil"/>
              <w:left w:val="nil"/>
              <w:bottom w:val="single" w:sz="4" w:space="0" w:color="auto"/>
              <w:right w:val="single" w:sz="4" w:space="0" w:color="auto"/>
            </w:tcBorders>
            <w:shd w:val="clear" w:color="000000" w:fill="EBF1DE"/>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1</w:t>
            </w:r>
          </w:p>
        </w:tc>
        <w:tc>
          <w:tcPr>
            <w:tcW w:w="316" w:type="dxa"/>
            <w:tcBorders>
              <w:top w:val="nil"/>
              <w:left w:val="nil"/>
              <w:bottom w:val="single" w:sz="4" w:space="0" w:color="auto"/>
              <w:right w:val="single" w:sz="4" w:space="0" w:color="auto"/>
            </w:tcBorders>
            <w:shd w:val="clear" w:color="000000" w:fill="EBF1DE"/>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1,27</w:t>
            </w:r>
          </w:p>
        </w:tc>
        <w:tc>
          <w:tcPr>
            <w:tcW w:w="317" w:type="dxa"/>
            <w:tcBorders>
              <w:top w:val="nil"/>
              <w:left w:val="nil"/>
              <w:bottom w:val="single" w:sz="4" w:space="0" w:color="auto"/>
              <w:right w:val="single" w:sz="4" w:space="0" w:color="auto"/>
            </w:tcBorders>
            <w:shd w:val="clear" w:color="auto" w:fill="auto"/>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0,385</w:t>
            </w:r>
          </w:p>
        </w:tc>
        <w:tc>
          <w:tcPr>
            <w:tcW w:w="316" w:type="dxa"/>
            <w:tcBorders>
              <w:top w:val="nil"/>
              <w:left w:val="nil"/>
              <w:bottom w:val="single" w:sz="4" w:space="0" w:color="auto"/>
              <w:right w:val="single" w:sz="4" w:space="0" w:color="auto"/>
            </w:tcBorders>
            <w:shd w:val="clear" w:color="auto" w:fill="auto"/>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0,77</w:t>
            </w:r>
          </w:p>
        </w:tc>
        <w:tc>
          <w:tcPr>
            <w:tcW w:w="317" w:type="dxa"/>
            <w:tcBorders>
              <w:top w:val="nil"/>
              <w:left w:val="nil"/>
              <w:bottom w:val="single" w:sz="4" w:space="0" w:color="auto"/>
              <w:right w:val="single" w:sz="4" w:space="0" w:color="auto"/>
            </w:tcBorders>
            <w:shd w:val="clear" w:color="auto" w:fill="auto"/>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w:t>
            </w:r>
          </w:p>
        </w:tc>
        <w:tc>
          <w:tcPr>
            <w:tcW w:w="316" w:type="dxa"/>
            <w:tcBorders>
              <w:top w:val="nil"/>
              <w:left w:val="nil"/>
              <w:bottom w:val="single" w:sz="4" w:space="0" w:color="auto"/>
              <w:right w:val="single" w:sz="4" w:space="0" w:color="auto"/>
            </w:tcBorders>
            <w:shd w:val="clear" w:color="000000" w:fill="C5D9F1"/>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0,395</w:t>
            </w:r>
          </w:p>
        </w:tc>
        <w:tc>
          <w:tcPr>
            <w:tcW w:w="317" w:type="dxa"/>
            <w:tcBorders>
              <w:top w:val="nil"/>
              <w:left w:val="nil"/>
              <w:bottom w:val="single" w:sz="4" w:space="0" w:color="auto"/>
              <w:right w:val="single" w:sz="4" w:space="0" w:color="auto"/>
            </w:tcBorders>
            <w:shd w:val="clear" w:color="000000" w:fill="C5D9F1"/>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0,28</w:t>
            </w:r>
          </w:p>
        </w:tc>
        <w:tc>
          <w:tcPr>
            <w:tcW w:w="316" w:type="dxa"/>
            <w:tcBorders>
              <w:top w:val="nil"/>
              <w:left w:val="nil"/>
              <w:bottom w:val="single" w:sz="4" w:space="0" w:color="auto"/>
              <w:right w:val="single" w:sz="4" w:space="0" w:color="auto"/>
            </w:tcBorders>
            <w:shd w:val="clear" w:color="000000" w:fill="C5D9F1"/>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0,51</w:t>
            </w:r>
          </w:p>
        </w:tc>
        <w:tc>
          <w:tcPr>
            <w:tcW w:w="317" w:type="dxa"/>
            <w:tcBorders>
              <w:top w:val="nil"/>
              <w:left w:val="nil"/>
              <w:bottom w:val="single" w:sz="4" w:space="0" w:color="auto"/>
              <w:right w:val="single" w:sz="4" w:space="0" w:color="auto"/>
            </w:tcBorders>
            <w:shd w:val="clear" w:color="auto" w:fill="auto"/>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-0,035</w:t>
            </w:r>
          </w:p>
        </w:tc>
        <w:tc>
          <w:tcPr>
            <w:tcW w:w="316" w:type="dxa"/>
            <w:tcBorders>
              <w:top w:val="nil"/>
              <w:left w:val="nil"/>
              <w:bottom w:val="single" w:sz="4" w:space="0" w:color="auto"/>
              <w:right w:val="single" w:sz="4" w:space="0" w:color="auto"/>
            </w:tcBorders>
            <w:shd w:val="clear" w:color="auto" w:fill="auto"/>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-0,06</w:t>
            </w:r>
          </w:p>
        </w:tc>
        <w:tc>
          <w:tcPr>
            <w:tcW w:w="317" w:type="dxa"/>
            <w:tcBorders>
              <w:top w:val="nil"/>
              <w:left w:val="nil"/>
              <w:bottom w:val="single" w:sz="4" w:space="0" w:color="auto"/>
              <w:right w:val="single" w:sz="4" w:space="0" w:color="auto"/>
            </w:tcBorders>
            <w:shd w:val="clear" w:color="auto" w:fill="auto"/>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-0,01</w:t>
            </w:r>
          </w:p>
        </w:tc>
        <w:tc>
          <w:tcPr>
            <w:tcW w:w="316" w:type="dxa"/>
            <w:tcBorders>
              <w:top w:val="nil"/>
              <w:left w:val="nil"/>
              <w:bottom w:val="single" w:sz="4" w:space="0" w:color="auto"/>
              <w:right w:val="single" w:sz="4" w:space="0" w:color="auto"/>
            </w:tcBorders>
            <w:shd w:val="clear" w:color="000000" w:fill="DDD9C4"/>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3,59</w:t>
            </w:r>
          </w:p>
        </w:tc>
        <w:tc>
          <w:tcPr>
            <w:tcW w:w="317" w:type="dxa"/>
            <w:tcBorders>
              <w:top w:val="nil"/>
              <w:left w:val="nil"/>
              <w:bottom w:val="single" w:sz="4" w:space="0" w:color="auto"/>
              <w:right w:val="single" w:sz="4" w:space="0" w:color="auto"/>
            </w:tcBorders>
            <w:shd w:val="clear" w:color="000000" w:fill="DDD9C4"/>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4,4</w:t>
            </w:r>
          </w:p>
        </w:tc>
        <w:tc>
          <w:tcPr>
            <w:tcW w:w="317" w:type="dxa"/>
            <w:tcBorders>
              <w:top w:val="nil"/>
              <w:left w:val="nil"/>
              <w:bottom w:val="single" w:sz="4" w:space="0" w:color="auto"/>
              <w:right w:val="single" w:sz="4" w:space="0" w:color="auto"/>
            </w:tcBorders>
            <w:shd w:val="clear" w:color="000000" w:fill="DDD9C4"/>
            <w:noWrap/>
            <w:textDirection w:val="btLr"/>
            <w:vAlign w:val="bottom"/>
            <w:hideMark/>
          </w:tcPr>
          <w:p w:rsidR="00D164AF" w:rsidRPr="00D164AF" w:rsidRDefault="00D164AF" w:rsidP="007C3562">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2,78</w:t>
            </w:r>
          </w:p>
        </w:tc>
      </w:tr>
    </w:tbl>
    <w:p w:rsidR="007C3562" w:rsidRPr="00FB4E3B" w:rsidRDefault="007C3562" w:rsidP="007C3562">
      <w:pPr>
        <w:pStyle w:val="Legenda"/>
        <w:spacing w:line="276" w:lineRule="auto"/>
      </w:pPr>
      <w:r w:rsidRPr="00FB4E3B">
        <w:t xml:space="preserve">Źródło: </w:t>
      </w:r>
      <w:r>
        <w:t xml:space="preserve">opracowanie własne na podstawie </w:t>
      </w:r>
      <w:r w:rsidRPr="00FB4E3B">
        <w:t>Bank</w:t>
      </w:r>
      <w:r>
        <w:t>u</w:t>
      </w:r>
      <w:r w:rsidRPr="00FB4E3B">
        <w:t xml:space="preserve"> Danych Lokalnych GUS</w:t>
      </w:r>
      <w:r>
        <w:t xml:space="preserve"> oraz danych szacunkowych w proporcji do liczby zamieszkałych kobiet i mężczyzn w poszczególnych miejscowościach gminnych.</w:t>
      </w:r>
      <w:r w:rsidR="00763DD6">
        <w:t xml:space="preserve"> – dane za 2014 rok</w:t>
      </w:r>
    </w:p>
    <w:p w:rsidR="00D164AF" w:rsidRDefault="00D164AF" w:rsidP="00D164AF"/>
    <w:p w:rsidR="00763DD6" w:rsidRDefault="00763DD6" w:rsidP="00D164AF"/>
    <w:p w:rsidR="00763DD6" w:rsidRDefault="00763DD6" w:rsidP="00D164AF"/>
    <w:p w:rsidR="00763DD6" w:rsidRDefault="00763DD6" w:rsidP="00D164AF"/>
    <w:p w:rsidR="00763DD6" w:rsidRDefault="00763DD6" w:rsidP="00D164AF"/>
    <w:p w:rsidR="00763DD6" w:rsidRDefault="00763DD6" w:rsidP="00D164AF"/>
    <w:p w:rsidR="00763DD6" w:rsidRDefault="00763DD6" w:rsidP="00D164AF"/>
    <w:p w:rsidR="00763DD6" w:rsidRDefault="00763DD6" w:rsidP="00D164AF"/>
    <w:p w:rsidR="00763DD6" w:rsidRPr="00D164AF" w:rsidRDefault="00763DD6" w:rsidP="00D164AF"/>
    <w:p w:rsidR="0080043B" w:rsidRDefault="00D164AF" w:rsidP="00D164AF">
      <w:pPr>
        <w:pStyle w:val="Akapitzlist"/>
        <w:numPr>
          <w:ilvl w:val="0"/>
          <w:numId w:val="2"/>
        </w:numPr>
        <w:jc w:val="both"/>
      </w:pPr>
      <w:r w:rsidRPr="00D164AF">
        <w:lastRenderedPageBreak/>
        <w:t>Ludność w wieku poprodukcyjnym w stosunku do ludności w wieku produkcyjnym wg faktycznego miejsca zamieszkania</w:t>
      </w:r>
    </w:p>
    <w:p w:rsidR="007C3562" w:rsidRDefault="007C3562" w:rsidP="007C3562">
      <w:pPr>
        <w:pStyle w:val="Legenda"/>
      </w:pPr>
      <w:bookmarkStart w:id="84" w:name="_Toc495887805"/>
      <w:r>
        <w:t xml:space="preserve">Tabela </w:t>
      </w:r>
      <w:r w:rsidR="00172343">
        <w:fldChar w:fldCharType="begin"/>
      </w:r>
      <w:r w:rsidR="00172343">
        <w:instrText xml:space="preserve"> SEQ Tabela \* ARABIC </w:instrText>
      </w:r>
      <w:r w:rsidR="00172343">
        <w:fldChar w:fldCharType="separate"/>
      </w:r>
      <w:r w:rsidR="00D67FEC">
        <w:rPr>
          <w:noProof/>
        </w:rPr>
        <w:t>16</w:t>
      </w:r>
      <w:r w:rsidR="00172343">
        <w:rPr>
          <w:noProof/>
        </w:rPr>
        <w:fldChar w:fldCharType="end"/>
      </w:r>
      <w:r>
        <w:t xml:space="preserve"> Wskaźnik referencyjny oraz wskaźnik „L</w:t>
      </w:r>
      <w:r w:rsidRPr="007C3562">
        <w:t>udność w wieku poprodukcyjnym w stosunku do ludności w wieku produkcyjnym wg faktycznego miejsca zamieszkania</w:t>
      </w:r>
      <w:r>
        <w:t>” dla poszczególnych miejscowości</w:t>
      </w:r>
      <w:bookmarkEnd w:id="84"/>
    </w:p>
    <w:tbl>
      <w:tblPr>
        <w:tblW w:w="10129" w:type="dxa"/>
        <w:jc w:val="center"/>
        <w:tblLayout w:type="fixed"/>
        <w:tblCellMar>
          <w:left w:w="70" w:type="dxa"/>
          <w:right w:w="70" w:type="dxa"/>
        </w:tblCellMar>
        <w:tblLook w:val="04A0" w:firstRow="1" w:lastRow="0" w:firstColumn="1" w:lastColumn="0" w:noHBand="0" w:noVBand="1"/>
      </w:tblPr>
      <w:tblGrid>
        <w:gridCol w:w="316"/>
        <w:gridCol w:w="317"/>
        <w:gridCol w:w="316"/>
        <w:gridCol w:w="317"/>
        <w:gridCol w:w="316"/>
        <w:gridCol w:w="317"/>
        <w:gridCol w:w="316"/>
        <w:gridCol w:w="317"/>
        <w:gridCol w:w="316"/>
        <w:gridCol w:w="317"/>
        <w:gridCol w:w="316"/>
        <w:gridCol w:w="317"/>
        <w:gridCol w:w="316"/>
        <w:gridCol w:w="317"/>
        <w:gridCol w:w="316"/>
        <w:gridCol w:w="317"/>
        <w:gridCol w:w="317"/>
        <w:gridCol w:w="316"/>
        <w:gridCol w:w="317"/>
        <w:gridCol w:w="316"/>
        <w:gridCol w:w="317"/>
        <w:gridCol w:w="316"/>
        <w:gridCol w:w="317"/>
        <w:gridCol w:w="316"/>
        <w:gridCol w:w="317"/>
        <w:gridCol w:w="316"/>
        <w:gridCol w:w="317"/>
        <w:gridCol w:w="316"/>
        <w:gridCol w:w="317"/>
        <w:gridCol w:w="316"/>
        <w:gridCol w:w="317"/>
        <w:gridCol w:w="317"/>
      </w:tblGrid>
      <w:tr w:rsidR="007C3562" w:rsidRPr="00D164AF" w:rsidTr="007C3562">
        <w:trPr>
          <w:trHeight w:val="2891"/>
          <w:jc w:val="center"/>
        </w:trPr>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7C3562" w:rsidRPr="00D164AF" w:rsidRDefault="007C3562" w:rsidP="00DD5C60">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dane referencyjne 2014</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7C3562" w:rsidRPr="00D164AF" w:rsidRDefault="007C3562" w:rsidP="00DD5C60">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POWIAT PRZEWORSKI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(ogółem)</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(mężczyźni)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(kobiety)</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(ogółem)</w:t>
            </w:r>
          </w:p>
        </w:tc>
        <w:tc>
          <w:tcPr>
            <w:tcW w:w="316"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(mężczyźni)</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(kobiety)</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(ogółem)</w:t>
            </w:r>
          </w:p>
        </w:tc>
        <w:tc>
          <w:tcPr>
            <w:tcW w:w="317"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(mężczyźni)</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(kobiety)</w:t>
            </w:r>
          </w:p>
        </w:tc>
        <w:tc>
          <w:tcPr>
            <w:tcW w:w="316"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(ogółem)</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(mężczyźni)</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(kobiety)</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(ogółem)</w:t>
            </w:r>
          </w:p>
        </w:tc>
        <w:tc>
          <w:tcPr>
            <w:tcW w:w="317"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(mężczyźni)</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(kobiety)</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(ogółem)</w:t>
            </w:r>
          </w:p>
        </w:tc>
        <w:tc>
          <w:tcPr>
            <w:tcW w:w="317"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(mężczyźni)</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(kobiety)</w:t>
            </w:r>
          </w:p>
        </w:tc>
        <w:tc>
          <w:tcPr>
            <w:tcW w:w="316"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(ogółem)</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(mężczyźni)</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7C3562" w:rsidRPr="00D164AF" w:rsidRDefault="007C3562"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(kobiety)</w:t>
            </w:r>
          </w:p>
        </w:tc>
      </w:tr>
      <w:tr w:rsidR="007C3562" w:rsidRPr="00D164AF" w:rsidTr="007C3562">
        <w:trPr>
          <w:trHeight w:val="1385"/>
          <w:jc w:val="center"/>
        </w:trPr>
        <w:tc>
          <w:tcPr>
            <w:tcW w:w="316" w:type="dxa"/>
            <w:tcBorders>
              <w:top w:val="nil"/>
              <w:left w:val="nil"/>
              <w:bottom w:val="single" w:sz="4" w:space="0" w:color="auto"/>
              <w:right w:val="single" w:sz="4" w:space="0" w:color="auto"/>
            </w:tcBorders>
            <w:shd w:val="clear" w:color="auto" w:fill="auto"/>
            <w:noWrap/>
            <w:textDirection w:val="btLr"/>
            <w:hideMark/>
          </w:tcPr>
          <w:p w:rsidR="007C3562" w:rsidRPr="007C3562" w:rsidRDefault="007C3562" w:rsidP="007C3562">
            <w:pPr>
              <w:jc w:val="center"/>
              <w:rPr>
                <w:rFonts w:ascii="Calibri" w:hAnsi="Calibri" w:cs="Calibri"/>
                <w:color w:val="FF0000"/>
                <w:sz w:val="18"/>
                <w:szCs w:val="18"/>
              </w:rPr>
            </w:pPr>
            <w:r w:rsidRPr="007C3562">
              <w:rPr>
                <w:rFonts w:ascii="Calibri" w:hAnsi="Calibri" w:cs="Calibri"/>
                <w:color w:val="FF0000"/>
                <w:sz w:val="18"/>
                <w:szCs w:val="18"/>
              </w:rPr>
              <w:t>27,90%</w:t>
            </w:r>
          </w:p>
        </w:tc>
        <w:tc>
          <w:tcPr>
            <w:tcW w:w="317" w:type="dxa"/>
            <w:tcBorders>
              <w:top w:val="nil"/>
              <w:left w:val="nil"/>
              <w:bottom w:val="single" w:sz="4" w:space="0" w:color="auto"/>
              <w:right w:val="single" w:sz="4" w:space="0" w:color="auto"/>
            </w:tcBorders>
            <w:shd w:val="clear" w:color="auto" w:fill="auto"/>
            <w:noWrap/>
            <w:textDirection w:val="btLr"/>
            <w:hideMark/>
          </w:tcPr>
          <w:p w:rsidR="007C3562" w:rsidRPr="007C3562" w:rsidRDefault="007C3562" w:rsidP="007C3562">
            <w:pPr>
              <w:jc w:val="center"/>
              <w:rPr>
                <w:rFonts w:ascii="Calibri" w:hAnsi="Calibri" w:cs="Calibri"/>
                <w:color w:val="FF0000"/>
                <w:sz w:val="18"/>
                <w:szCs w:val="18"/>
              </w:rPr>
            </w:pPr>
            <w:r w:rsidRPr="007C3562">
              <w:rPr>
                <w:rFonts w:ascii="Calibri" w:hAnsi="Calibri" w:cs="Calibri"/>
                <w:color w:val="FF0000"/>
                <w:sz w:val="18"/>
                <w:szCs w:val="18"/>
              </w:rPr>
              <w:t>28,19%</w:t>
            </w:r>
          </w:p>
        </w:tc>
        <w:tc>
          <w:tcPr>
            <w:tcW w:w="316" w:type="dxa"/>
            <w:tcBorders>
              <w:top w:val="nil"/>
              <w:left w:val="nil"/>
              <w:bottom w:val="single" w:sz="4" w:space="0" w:color="auto"/>
              <w:right w:val="single" w:sz="4" w:space="0" w:color="auto"/>
            </w:tcBorders>
            <w:shd w:val="clear" w:color="auto" w:fill="auto"/>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26,50%</w:t>
            </w:r>
          </w:p>
        </w:tc>
        <w:tc>
          <w:tcPr>
            <w:tcW w:w="317" w:type="dxa"/>
            <w:tcBorders>
              <w:top w:val="nil"/>
              <w:left w:val="nil"/>
              <w:bottom w:val="single" w:sz="4" w:space="0" w:color="auto"/>
              <w:right w:val="single" w:sz="4" w:space="0" w:color="auto"/>
            </w:tcBorders>
            <w:shd w:val="clear" w:color="auto" w:fill="auto"/>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15,00%</w:t>
            </w:r>
          </w:p>
        </w:tc>
        <w:tc>
          <w:tcPr>
            <w:tcW w:w="316" w:type="dxa"/>
            <w:tcBorders>
              <w:top w:val="nil"/>
              <w:left w:val="nil"/>
              <w:bottom w:val="single" w:sz="4" w:space="0" w:color="auto"/>
              <w:right w:val="single" w:sz="4" w:space="0" w:color="auto"/>
            </w:tcBorders>
            <w:shd w:val="clear" w:color="auto" w:fill="auto"/>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38,00%</w:t>
            </w:r>
          </w:p>
        </w:tc>
        <w:tc>
          <w:tcPr>
            <w:tcW w:w="317" w:type="dxa"/>
            <w:tcBorders>
              <w:top w:val="nil"/>
              <w:left w:val="nil"/>
              <w:bottom w:val="single" w:sz="4" w:space="0" w:color="auto"/>
              <w:right w:val="single" w:sz="4" w:space="0" w:color="auto"/>
            </w:tcBorders>
            <w:shd w:val="clear" w:color="000000" w:fill="FDE9D9"/>
            <w:noWrap/>
            <w:textDirection w:val="btLr"/>
            <w:hideMark/>
          </w:tcPr>
          <w:p w:rsidR="007C3562" w:rsidRPr="007C3562" w:rsidRDefault="007C3562" w:rsidP="007C3562">
            <w:pPr>
              <w:jc w:val="center"/>
              <w:rPr>
                <w:rFonts w:ascii="Calibri" w:hAnsi="Calibri" w:cs="Calibri"/>
                <w:color w:val="FF0000"/>
                <w:sz w:val="18"/>
                <w:szCs w:val="18"/>
              </w:rPr>
            </w:pPr>
            <w:r w:rsidRPr="007C3562">
              <w:rPr>
                <w:rFonts w:ascii="Calibri" w:hAnsi="Calibri" w:cs="Calibri"/>
                <w:color w:val="FF0000"/>
                <w:sz w:val="18"/>
                <w:szCs w:val="18"/>
              </w:rPr>
              <w:t>37,00%</w:t>
            </w:r>
          </w:p>
        </w:tc>
        <w:tc>
          <w:tcPr>
            <w:tcW w:w="316" w:type="dxa"/>
            <w:tcBorders>
              <w:top w:val="nil"/>
              <w:left w:val="nil"/>
              <w:bottom w:val="single" w:sz="4" w:space="0" w:color="auto"/>
              <w:right w:val="single" w:sz="4" w:space="0" w:color="auto"/>
            </w:tcBorders>
            <w:shd w:val="clear" w:color="000000" w:fill="FDE9D9"/>
            <w:noWrap/>
            <w:textDirection w:val="btLr"/>
            <w:hideMark/>
          </w:tcPr>
          <w:p w:rsidR="007C3562" w:rsidRPr="007C3562" w:rsidRDefault="007C3562" w:rsidP="007C3562">
            <w:pPr>
              <w:jc w:val="center"/>
              <w:rPr>
                <w:rFonts w:ascii="Calibri" w:hAnsi="Calibri" w:cs="Calibri"/>
                <w:color w:val="FF0000"/>
                <w:sz w:val="18"/>
                <w:szCs w:val="18"/>
              </w:rPr>
            </w:pPr>
            <w:r w:rsidRPr="007C3562">
              <w:rPr>
                <w:rFonts w:ascii="Calibri" w:hAnsi="Calibri" w:cs="Calibri"/>
                <w:color w:val="FF0000"/>
                <w:sz w:val="18"/>
                <w:szCs w:val="18"/>
              </w:rPr>
              <w:t>18,00%</w:t>
            </w:r>
          </w:p>
        </w:tc>
        <w:tc>
          <w:tcPr>
            <w:tcW w:w="317" w:type="dxa"/>
            <w:tcBorders>
              <w:top w:val="nil"/>
              <w:left w:val="nil"/>
              <w:bottom w:val="single" w:sz="4" w:space="0" w:color="auto"/>
              <w:right w:val="single" w:sz="4" w:space="0" w:color="auto"/>
            </w:tcBorders>
            <w:shd w:val="clear" w:color="000000" w:fill="FDE9D9"/>
            <w:noWrap/>
            <w:textDirection w:val="btLr"/>
            <w:hideMark/>
          </w:tcPr>
          <w:p w:rsidR="007C3562" w:rsidRPr="007C3562" w:rsidRDefault="007C3562" w:rsidP="007C3562">
            <w:pPr>
              <w:jc w:val="center"/>
              <w:rPr>
                <w:rFonts w:ascii="Calibri" w:hAnsi="Calibri" w:cs="Calibri"/>
                <w:color w:val="FF0000"/>
                <w:sz w:val="18"/>
                <w:szCs w:val="18"/>
              </w:rPr>
            </w:pPr>
            <w:r w:rsidRPr="007C3562">
              <w:rPr>
                <w:rFonts w:ascii="Calibri" w:hAnsi="Calibri" w:cs="Calibri"/>
                <w:color w:val="FF0000"/>
                <w:sz w:val="18"/>
                <w:szCs w:val="18"/>
              </w:rPr>
              <w:t>56,00%</w:t>
            </w:r>
          </w:p>
        </w:tc>
        <w:tc>
          <w:tcPr>
            <w:tcW w:w="316" w:type="dxa"/>
            <w:tcBorders>
              <w:top w:val="nil"/>
              <w:left w:val="nil"/>
              <w:bottom w:val="single" w:sz="4" w:space="0" w:color="auto"/>
              <w:right w:val="single" w:sz="4" w:space="0" w:color="auto"/>
            </w:tcBorders>
            <w:shd w:val="clear" w:color="000000" w:fill="DAEEF3"/>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25,50%</w:t>
            </w:r>
          </w:p>
        </w:tc>
        <w:tc>
          <w:tcPr>
            <w:tcW w:w="317" w:type="dxa"/>
            <w:tcBorders>
              <w:top w:val="nil"/>
              <w:left w:val="nil"/>
              <w:bottom w:val="single" w:sz="4" w:space="0" w:color="auto"/>
              <w:right w:val="single" w:sz="4" w:space="0" w:color="auto"/>
            </w:tcBorders>
            <w:shd w:val="clear" w:color="000000" w:fill="DAEEF3"/>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14,00%</w:t>
            </w:r>
          </w:p>
        </w:tc>
        <w:tc>
          <w:tcPr>
            <w:tcW w:w="316" w:type="dxa"/>
            <w:tcBorders>
              <w:top w:val="nil"/>
              <w:left w:val="nil"/>
              <w:bottom w:val="single" w:sz="4" w:space="0" w:color="auto"/>
              <w:right w:val="single" w:sz="4" w:space="0" w:color="auto"/>
            </w:tcBorders>
            <w:shd w:val="clear" w:color="000000" w:fill="DAEEF3"/>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37,00%</w:t>
            </w:r>
          </w:p>
        </w:tc>
        <w:tc>
          <w:tcPr>
            <w:tcW w:w="317" w:type="dxa"/>
            <w:tcBorders>
              <w:top w:val="nil"/>
              <w:left w:val="nil"/>
              <w:bottom w:val="single" w:sz="4" w:space="0" w:color="auto"/>
              <w:right w:val="single" w:sz="4" w:space="0" w:color="auto"/>
            </w:tcBorders>
            <w:shd w:val="clear" w:color="auto" w:fill="auto"/>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27,00%</w:t>
            </w:r>
          </w:p>
        </w:tc>
        <w:tc>
          <w:tcPr>
            <w:tcW w:w="316" w:type="dxa"/>
            <w:tcBorders>
              <w:top w:val="nil"/>
              <w:left w:val="nil"/>
              <w:bottom w:val="single" w:sz="4" w:space="0" w:color="auto"/>
              <w:right w:val="single" w:sz="4" w:space="0" w:color="auto"/>
            </w:tcBorders>
            <w:shd w:val="clear" w:color="auto" w:fill="auto"/>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18,00%</w:t>
            </w:r>
          </w:p>
        </w:tc>
        <w:tc>
          <w:tcPr>
            <w:tcW w:w="317" w:type="dxa"/>
            <w:tcBorders>
              <w:top w:val="nil"/>
              <w:left w:val="nil"/>
              <w:bottom w:val="single" w:sz="4" w:space="0" w:color="auto"/>
              <w:right w:val="single" w:sz="4" w:space="0" w:color="auto"/>
            </w:tcBorders>
            <w:shd w:val="clear" w:color="auto" w:fill="auto"/>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36,00%</w:t>
            </w:r>
          </w:p>
        </w:tc>
        <w:tc>
          <w:tcPr>
            <w:tcW w:w="316" w:type="dxa"/>
            <w:tcBorders>
              <w:top w:val="nil"/>
              <w:left w:val="nil"/>
              <w:bottom w:val="single" w:sz="4" w:space="0" w:color="auto"/>
              <w:right w:val="single" w:sz="4" w:space="0" w:color="auto"/>
            </w:tcBorders>
            <w:shd w:val="clear" w:color="000000" w:fill="E4DFEC"/>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20,50%</w:t>
            </w:r>
          </w:p>
        </w:tc>
        <w:tc>
          <w:tcPr>
            <w:tcW w:w="317" w:type="dxa"/>
            <w:tcBorders>
              <w:top w:val="nil"/>
              <w:left w:val="nil"/>
              <w:bottom w:val="single" w:sz="4" w:space="0" w:color="auto"/>
              <w:right w:val="single" w:sz="4" w:space="0" w:color="auto"/>
            </w:tcBorders>
            <w:shd w:val="clear" w:color="000000" w:fill="E4DFEC"/>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14,00%</w:t>
            </w:r>
          </w:p>
        </w:tc>
        <w:tc>
          <w:tcPr>
            <w:tcW w:w="317" w:type="dxa"/>
            <w:tcBorders>
              <w:top w:val="nil"/>
              <w:left w:val="nil"/>
              <w:bottom w:val="single" w:sz="4" w:space="0" w:color="auto"/>
              <w:right w:val="single" w:sz="4" w:space="0" w:color="auto"/>
            </w:tcBorders>
            <w:shd w:val="clear" w:color="000000" w:fill="E4DFEC"/>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27,00%</w:t>
            </w:r>
          </w:p>
        </w:tc>
        <w:tc>
          <w:tcPr>
            <w:tcW w:w="316" w:type="dxa"/>
            <w:tcBorders>
              <w:top w:val="nil"/>
              <w:left w:val="nil"/>
              <w:bottom w:val="single" w:sz="4" w:space="0" w:color="auto"/>
              <w:right w:val="single" w:sz="4" w:space="0" w:color="auto"/>
            </w:tcBorders>
            <w:shd w:val="clear" w:color="000000" w:fill="EBF1DE"/>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22,50%</w:t>
            </w:r>
          </w:p>
        </w:tc>
        <w:tc>
          <w:tcPr>
            <w:tcW w:w="317" w:type="dxa"/>
            <w:tcBorders>
              <w:top w:val="nil"/>
              <w:left w:val="nil"/>
              <w:bottom w:val="single" w:sz="4" w:space="0" w:color="auto"/>
              <w:right w:val="single" w:sz="4" w:space="0" w:color="auto"/>
            </w:tcBorders>
            <w:shd w:val="clear" w:color="000000" w:fill="EBF1DE"/>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11,00%</w:t>
            </w:r>
          </w:p>
        </w:tc>
        <w:tc>
          <w:tcPr>
            <w:tcW w:w="316" w:type="dxa"/>
            <w:tcBorders>
              <w:top w:val="nil"/>
              <w:left w:val="nil"/>
              <w:bottom w:val="single" w:sz="4" w:space="0" w:color="auto"/>
              <w:right w:val="single" w:sz="4" w:space="0" w:color="auto"/>
            </w:tcBorders>
            <w:shd w:val="clear" w:color="000000" w:fill="EBF1DE"/>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34,00%</w:t>
            </w:r>
          </w:p>
        </w:tc>
        <w:tc>
          <w:tcPr>
            <w:tcW w:w="317" w:type="dxa"/>
            <w:tcBorders>
              <w:top w:val="nil"/>
              <w:left w:val="nil"/>
              <w:bottom w:val="single" w:sz="4" w:space="0" w:color="auto"/>
              <w:right w:val="single" w:sz="4" w:space="0" w:color="auto"/>
            </w:tcBorders>
            <w:shd w:val="clear" w:color="auto" w:fill="auto"/>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24,00%</w:t>
            </w:r>
          </w:p>
        </w:tc>
        <w:tc>
          <w:tcPr>
            <w:tcW w:w="316" w:type="dxa"/>
            <w:tcBorders>
              <w:top w:val="nil"/>
              <w:left w:val="nil"/>
              <w:bottom w:val="single" w:sz="4" w:space="0" w:color="auto"/>
              <w:right w:val="single" w:sz="4" w:space="0" w:color="auto"/>
            </w:tcBorders>
            <w:shd w:val="clear" w:color="auto" w:fill="auto"/>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12,00%</w:t>
            </w:r>
          </w:p>
        </w:tc>
        <w:tc>
          <w:tcPr>
            <w:tcW w:w="317" w:type="dxa"/>
            <w:tcBorders>
              <w:top w:val="nil"/>
              <w:left w:val="nil"/>
              <w:bottom w:val="single" w:sz="4" w:space="0" w:color="auto"/>
              <w:right w:val="single" w:sz="4" w:space="0" w:color="auto"/>
            </w:tcBorders>
            <w:shd w:val="clear" w:color="auto" w:fill="auto"/>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36,00%</w:t>
            </w:r>
          </w:p>
        </w:tc>
        <w:tc>
          <w:tcPr>
            <w:tcW w:w="316" w:type="dxa"/>
            <w:tcBorders>
              <w:top w:val="nil"/>
              <w:left w:val="nil"/>
              <w:bottom w:val="single" w:sz="4" w:space="0" w:color="auto"/>
              <w:right w:val="single" w:sz="4" w:space="0" w:color="auto"/>
            </w:tcBorders>
            <w:shd w:val="clear" w:color="000000" w:fill="C5D9F1"/>
            <w:noWrap/>
            <w:textDirection w:val="btLr"/>
            <w:hideMark/>
          </w:tcPr>
          <w:p w:rsidR="007C3562" w:rsidRPr="007C3562" w:rsidRDefault="007C3562" w:rsidP="007C3562">
            <w:pPr>
              <w:jc w:val="center"/>
              <w:rPr>
                <w:rFonts w:ascii="Calibri" w:hAnsi="Calibri" w:cs="Calibri"/>
                <w:color w:val="FF0000"/>
                <w:sz w:val="18"/>
                <w:szCs w:val="18"/>
              </w:rPr>
            </w:pPr>
            <w:r w:rsidRPr="007C3562">
              <w:rPr>
                <w:rFonts w:ascii="Calibri" w:hAnsi="Calibri" w:cs="Calibri"/>
                <w:color w:val="FF0000"/>
                <w:sz w:val="18"/>
                <w:szCs w:val="18"/>
              </w:rPr>
              <w:t>30,00%</w:t>
            </w:r>
          </w:p>
        </w:tc>
        <w:tc>
          <w:tcPr>
            <w:tcW w:w="317" w:type="dxa"/>
            <w:tcBorders>
              <w:top w:val="nil"/>
              <w:left w:val="nil"/>
              <w:bottom w:val="single" w:sz="4" w:space="0" w:color="auto"/>
              <w:right w:val="single" w:sz="4" w:space="0" w:color="auto"/>
            </w:tcBorders>
            <w:shd w:val="clear" w:color="000000" w:fill="C5D9F1"/>
            <w:noWrap/>
            <w:textDirection w:val="btLr"/>
            <w:hideMark/>
          </w:tcPr>
          <w:p w:rsidR="007C3562" w:rsidRPr="007C3562" w:rsidRDefault="007C3562" w:rsidP="007C3562">
            <w:pPr>
              <w:jc w:val="center"/>
              <w:rPr>
                <w:rFonts w:ascii="Calibri" w:hAnsi="Calibri" w:cs="Calibri"/>
                <w:color w:val="FF0000"/>
                <w:sz w:val="18"/>
                <w:szCs w:val="18"/>
              </w:rPr>
            </w:pPr>
            <w:r w:rsidRPr="007C3562">
              <w:rPr>
                <w:rFonts w:ascii="Calibri" w:hAnsi="Calibri" w:cs="Calibri"/>
                <w:color w:val="FF0000"/>
                <w:sz w:val="18"/>
                <w:szCs w:val="18"/>
              </w:rPr>
              <w:t>21,00%</w:t>
            </w:r>
          </w:p>
        </w:tc>
        <w:tc>
          <w:tcPr>
            <w:tcW w:w="316" w:type="dxa"/>
            <w:tcBorders>
              <w:top w:val="nil"/>
              <w:left w:val="nil"/>
              <w:bottom w:val="single" w:sz="4" w:space="0" w:color="auto"/>
              <w:right w:val="single" w:sz="4" w:space="0" w:color="auto"/>
            </w:tcBorders>
            <w:shd w:val="clear" w:color="000000" w:fill="C5D9F1"/>
            <w:noWrap/>
            <w:textDirection w:val="btLr"/>
            <w:hideMark/>
          </w:tcPr>
          <w:p w:rsidR="007C3562" w:rsidRPr="007C3562" w:rsidRDefault="007C3562" w:rsidP="007C3562">
            <w:pPr>
              <w:jc w:val="center"/>
              <w:rPr>
                <w:rFonts w:ascii="Calibri" w:hAnsi="Calibri" w:cs="Calibri"/>
                <w:color w:val="FF0000"/>
                <w:sz w:val="18"/>
                <w:szCs w:val="18"/>
              </w:rPr>
            </w:pPr>
            <w:r w:rsidRPr="007C3562">
              <w:rPr>
                <w:rFonts w:ascii="Calibri" w:hAnsi="Calibri" w:cs="Calibri"/>
                <w:color w:val="FF0000"/>
                <w:sz w:val="18"/>
                <w:szCs w:val="18"/>
              </w:rPr>
              <w:t>39,00%</w:t>
            </w:r>
          </w:p>
        </w:tc>
        <w:tc>
          <w:tcPr>
            <w:tcW w:w="317" w:type="dxa"/>
            <w:tcBorders>
              <w:top w:val="nil"/>
              <w:left w:val="nil"/>
              <w:bottom w:val="single" w:sz="4" w:space="0" w:color="auto"/>
              <w:right w:val="single" w:sz="4" w:space="0" w:color="auto"/>
            </w:tcBorders>
            <w:shd w:val="clear" w:color="auto" w:fill="auto"/>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25,50%</w:t>
            </w:r>
          </w:p>
        </w:tc>
        <w:tc>
          <w:tcPr>
            <w:tcW w:w="316" w:type="dxa"/>
            <w:tcBorders>
              <w:top w:val="nil"/>
              <w:left w:val="nil"/>
              <w:bottom w:val="single" w:sz="4" w:space="0" w:color="auto"/>
              <w:right w:val="single" w:sz="4" w:space="0" w:color="auto"/>
            </w:tcBorders>
            <w:shd w:val="clear" w:color="auto" w:fill="auto"/>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16,00%</w:t>
            </w:r>
          </w:p>
        </w:tc>
        <w:tc>
          <w:tcPr>
            <w:tcW w:w="317" w:type="dxa"/>
            <w:tcBorders>
              <w:top w:val="nil"/>
              <w:left w:val="nil"/>
              <w:bottom w:val="single" w:sz="4" w:space="0" w:color="auto"/>
              <w:right w:val="single" w:sz="4" w:space="0" w:color="auto"/>
            </w:tcBorders>
            <w:shd w:val="clear" w:color="auto" w:fill="auto"/>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35,00%</w:t>
            </w:r>
          </w:p>
        </w:tc>
        <w:tc>
          <w:tcPr>
            <w:tcW w:w="316" w:type="dxa"/>
            <w:tcBorders>
              <w:top w:val="nil"/>
              <w:left w:val="nil"/>
              <w:bottom w:val="single" w:sz="4" w:space="0" w:color="auto"/>
              <w:right w:val="single" w:sz="4" w:space="0" w:color="auto"/>
            </w:tcBorders>
            <w:shd w:val="clear" w:color="000000" w:fill="DDD9C4"/>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25,00%</w:t>
            </w:r>
          </w:p>
        </w:tc>
        <w:tc>
          <w:tcPr>
            <w:tcW w:w="317" w:type="dxa"/>
            <w:tcBorders>
              <w:top w:val="nil"/>
              <w:left w:val="nil"/>
              <w:bottom w:val="single" w:sz="4" w:space="0" w:color="auto"/>
              <w:right w:val="single" w:sz="4" w:space="0" w:color="auto"/>
            </w:tcBorders>
            <w:shd w:val="clear" w:color="000000" w:fill="DDD9C4"/>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12,00%</w:t>
            </w:r>
          </w:p>
        </w:tc>
        <w:tc>
          <w:tcPr>
            <w:tcW w:w="317" w:type="dxa"/>
            <w:tcBorders>
              <w:top w:val="nil"/>
              <w:left w:val="nil"/>
              <w:bottom w:val="single" w:sz="4" w:space="0" w:color="auto"/>
              <w:right w:val="single" w:sz="4" w:space="0" w:color="auto"/>
            </w:tcBorders>
            <w:shd w:val="clear" w:color="000000" w:fill="DDD9C4"/>
            <w:noWrap/>
            <w:textDirection w:val="btLr"/>
            <w:hideMark/>
          </w:tcPr>
          <w:p w:rsidR="007C3562" w:rsidRPr="007C3562" w:rsidRDefault="007C3562" w:rsidP="007C3562">
            <w:pPr>
              <w:jc w:val="center"/>
              <w:rPr>
                <w:rFonts w:ascii="Calibri" w:hAnsi="Calibri" w:cs="Calibri"/>
                <w:color w:val="000000"/>
                <w:sz w:val="18"/>
                <w:szCs w:val="18"/>
              </w:rPr>
            </w:pPr>
            <w:r w:rsidRPr="007C3562">
              <w:rPr>
                <w:rFonts w:ascii="Calibri" w:hAnsi="Calibri" w:cs="Calibri"/>
                <w:color w:val="000000"/>
                <w:sz w:val="18"/>
                <w:szCs w:val="18"/>
              </w:rPr>
              <w:t>38,00%</w:t>
            </w:r>
          </w:p>
        </w:tc>
      </w:tr>
    </w:tbl>
    <w:p w:rsidR="007C3562" w:rsidRDefault="00DD5C60" w:rsidP="007C3562">
      <w:pPr>
        <w:pStyle w:val="Legenda"/>
        <w:spacing w:line="276" w:lineRule="auto"/>
      </w:pPr>
      <w:r>
        <w:rPr>
          <w:noProof/>
          <w:lang w:eastAsia="pl-PL"/>
        </w:rPr>
        <w:drawing>
          <wp:anchor distT="0" distB="0" distL="114300" distR="114300" simplePos="0" relativeHeight="251658240" behindDoc="1" locked="0" layoutInCell="1" allowOverlap="1" wp14:anchorId="59B8AEB3" wp14:editId="1D12FE38">
            <wp:simplePos x="0" y="0"/>
            <wp:positionH relativeFrom="column">
              <wp:posOffset>1862455</wp:posOffset>
            </wp:positionH>
            <wp:positionV relativeFrom="paragraph">
              <wp:posOffset>436880</wp:posOffset>
            </wp:positionV>
            <wp:extent cx="3752850" cy="4733925"/>
            <wp:effectExtent l="0" t="0" r="0" b="9525"/>
            <wp:wrapTight wrapText="bothSides">
              <wp:wrapPolygon edited="0">
                <wp:start x="0" y="0"/>
                <wp:lineTo x="0" y="21557"/>
                <wp:lineTo x="21490" y="21557"/>
                <wp:lineTo x="21490"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2850" cy="473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562" w:rsidRPr="00FB4E3B">
        <w:t xml:space="preserve">Źródło: </w:t>
      </w:r>
      <w:r w:rsidR="007C3562">
        <w:t xml:space="preserve">opracowanie własne na podstawie </w:t>
      </w:r>
      <w:r w:rsidR="007C3562" w:rsidRPr="00FB4E3B">
        <w:t>Bank</w:t>
      </w:r>
      <w:r w:rsidR="007C3562">
        <w:t>u</w:t>
      </w:r>
      <w:r w:rsidR="007C3562" w:rsidRPr="00FB4E3B">
        <w:t xml:space="preserve"> Danych Lokalnych GUS</w:t>
      </w:r>
      <w:r w:rsidR="007C3562">
        <w:t xml:space="preserve"> oraz danych szacunkowych w proporcji do liczby zamieszkałych kobiet i mężczyzn w poszczeg</w:t>
      </w:r>
      <w:r w:rsidR="00763DD6">
        <w:t>ólnych miejscowościach gminnych – dane za 2014 rok</w:t>
      </w:r>
    </w:p>
    <w:p w:rsidR="00DD5C60" w:rsidRDefault="00DD5C60" w:rsidP="00DD5C60"/>
    <w:p w:rsidR="00DD5C60" w:rsidRDefault="00DD5C60" w:rsidP="00DD5C60">
      <w:pPr>
        <w:pStyle w:val="Legenda"/>
      </w:pPr>
      <w:bookmarkStart w:id="85" w:name="_Toc495887780"/>
      <w:r>
        <w:t xml:space="preserve">Mapa </w:t>
      </w:r>
      <w:r w:rsidR="00172343">
        <w:fldChar w:fldCharType="begin"/>
      </w:r>
      <w:r w:rsidR="00172343">
        <w:instrText xml:space="preserve"> SEQ Mapa \* ARABIC </w:instrText>
      </w:r>
      <w:r w:rsidR="00172343">
        <w:fldChar w:fldCharType="separate"/>
      </w:r>
      <w:r w:rsidR="00883893">
        <w:rPr>
          <w:noProof/>
        </w:rPr>
        <w:t>4</w:t>
      </w:r>
      <w:r w:rsidR="00172343">
        <w:rPr>
          <w:noProof/>
        </w:rPr>
        <w:fldChar w:fldCharType="end"/>
      </w:r>
      <w:r>
        <w:t xml:space="preserve"> </w:t>
      </w:r>
      <w:r w:rsidR="00147768">
        <w:t>„</w:t>
      </w:r>
      <w:r>
        <w:t>L</w:t>
      </w:r>
      <w:r w:rsidRPr="007C3562">
        <w:t>udność w wieku poprodukcyjnym w stosunku do ludności w wieku produkcyjnym wg faktycznego miejsca zamieszkania</w:t>
      </w:r>
      <w:r>
        <w:t>” dla poszczególnych miejscowości</w:t>
      </w:r>
      <w:bookmarkEnd w:id="85"/>
    </w:p>
    <w:p w:rsidR="00DD5C60" w:rsidRDefault="00DD5C60" w:rsidP="00DD5C60"/>
    <w:p w:rsidR="00DD5C60" w:rsidRDefault="00DD5C60" w:rsidP="00DD5C60"/>
    <w:p w:rsidR="00DD5C60" w:rsidRDefault="00DD5C60" w:rsidP="00DD5C60"/>
    <w:p w:rsidR="00DD5C60" w:rsidRDefault="00DD5C60" w:rsidP="00DD5C60"/>
    <w:p w:rsidR="00DD5C60" w:rsidRDefault="00DD5C60" w:rsidP="00DD5C60"/>
    <w:p w:rsidR="00DD5C60" w:rsidRDefault="00DD5C60" w:rsidP="00DD5C60"/>
    <w:p w:rsidR="00DD5C60" w:rsidRDefault="00DD5C60" w:rsidP="00DD5C60"/>
    <w:p w:rsidR="00DD5C60" w:rsidRDefault="00DD5C60" w:rsidP="00DD5C60">
      <w:pPr>
        <w:pStyle w:val="Legenda"/>
        <w:spacing w:line="276" w:lineRule="auto"/>
      </w:pPr>
      <w:r w:rsidRPr="00FB4E3B">
        <w:t xml:space="preserve">Źródło: </w:t>
      </w:r>
      <w:r>
        <w:t xml:space="preserve">opracowanie własne na podstawie </w:t>
      </w:r>
      <w:r w:rsidRPr="00FB4E3B">
        <w:t>Bank</w:t>
      </w:r>
      <w:r>
        <w:t>u</w:t>
      </w:r>
      <w:r w:rsidRPr="00FB4E3B">
        <w:t xml:space="preserve"> Danych Lokalnych GUS</w:t>
      </w:r>
      <w:r>
        <w:t xml:space="preserve"> oraz danych szacunkowych w proporcji do liczby zamieszkałych kobiet i mężczyzn w poszczególnych miejscowościach gminnych.</w:t>
      </w:r>
    </w:p>
    <w:p w:rsidR="00DD5C60" w:rsidRDefault="00DD5C60" w:rsidP="00D164AF">
      <w:pPr>
        <w:pStyle w:val="Akapitzlist"/>
        <w:numPr>
          <w:ilvl w:val="0"/>
          <w:numId w:val="2"/>
        </w:numPr>
        <w:jc w:val="both"/>
        <w:sectPr w:rsidR="00DD5C60">
          <w:pgSz w:w="11906" w:h="16838"/>
          <w:pgMar w:top="1417" w:right="1417" w:bottom="1417" w:left="1417" w:header="708" w:footer="708" w:gutter="0"/>
          <w:cols w:space="708"/>
          <w:docGrid w:linePitch="360"/>
        </w:sectPr>
      </w:pPr>
    </w:p>
    <w:p w:rsidR="00D164AF" w:rsidRDefault="00DD5C60" w:rsidP="00D164AF">
      <w:pPr>
        <w:pStyle w:val="Akapitzlist"/>
        <w:numPr>
          <w:ilvl w:val="0"/>
          <w:numId w:val="2"/>
        </w:numPr>
        <w:jc w:val="both"/>
      </w:pPr>
      <w:r>
        <w:lastRenderedPageBreak/>
        <w:t>M</w:t>
      </w:r>
      <w:r w:rsidR="00D164AF" w:rsidRPr="00D164AF">
        <w:t>ediana wieku</w:t>
      </w:r>
    </w:p>
    <w:p w:rsidR="00DD5C60" w:rsidRDefault="00DD5C60" w:rsidP="00DD5C60">
      <w:pPr>
        <w:pStyle w:val="Legenda"/>
      </w:pPr>
      <w:bookmarkStart w:id="86" w:name="_Toc495887806"/>
      <w:r>
        <w:t xml:space="preserve">Tabela </w:t>
      </w:r>
      <w:r w:rsidR="00172343">
        <w:fldChar w:fldCharType="begin"/>
      </w:r>
      <w:r w:rsidR="00172343">
        <w:instrText xml:space="preserve"> SEQ Tabela \* ARABIC </w:instrText>
      </w:r>
      <w:r w:rsidR="00172343">
        <w:fldChar w:fldCharType="separate"/>
      </w:r>
      <w:r w:rsidR="00D67FEC">
        <w:rPr>
          <w:noProof/>
        </w:rPr>
        <w:t>17</w:t>
      </w:r>
      <w:r w:rsidR="00172343">
        <w:rPr>
          <w:noProof/>
        </w:rPr>
        <w:fldChar w:fldCharType="end"/>
      </w:r>
      <w:r>
        <w:t xml:space="preserve"> Wskaźnik referencyjny oraz wskaźnik „Mediana wieku” dla poszczególnych miejscowości</w:t>
      </w:r>
      <w:bookmarkEnd w:id="86"/>
    </w:p>
    <w:tbl>
      <w:tblPr>
        <w:tblW w:w="10129" w:type="dxa"/>
        <w:jc w:val="center"/>
        <w:tblLayout w:type="fixed"/>
        <w:tblCellMar>
          <w:left w:w="70" w:type="dxa"/>
          <w:right w:w="70" w:type="dxa"/>
        </w:tblCellMar>
        <w:tblLook w:val="04A0" w:firstRow="1" w:lastRow="0" w:firstColumn="1" w:lastColumn="0" w:noHBand="0" w:noVBand="1"/>
      </w:tblPr>
      <w:tblGrid>
        <w:gridCol w:w="316"/>
        <w:gridCol w:w="317"/>
        <w:gridCol w:w="316"/>
        <w:gridCol w:w="317"/>
        <w:gridCol w:w="316"/>
        <w:gridCol w:w="317"/>
        <w:gridCol w:w="316"/>
        <w:gridCol w:w="317"/>
        <w:gridCol w:w="316"/>
        <w:gridCol w:w="317"/>
        <w:gridCol w:w="316"/>
        <w:gridCol w:w="317"/>
        <w:gridCol w:w="316"/>
        <w:gridCol w:w="317"/>
        <w:gridCol w:w="316"/>
        <w:gridCol w:w="317"/>
        <w:gridCol w:w="317"/>
        <w:gridCol w:w="316"/>
        <w:gridCol w:w="317"/>
        <w:gridCol w:w="316"/>
        <w:gridCol w:w="317"/>
        <w:gridCol w:w="316"/>
        <w:gridCol w:w="317"/>
        <w:gridCol w:w="316"/>
        <w:gridCol w:w="317"/>
        <w:gridCol w:w="316"/>
        <w:gridCol w:w="317"/>
        <w:gridCol w:w="316"/>
        <w:gridCol w:w="317"/>
        <w:gridCol w:w="316"/>
        <w:gridCol w:w="317"/>
        <w:gridCol w:w="317"/>
      </w:tblGrid>
      <w:tr w:rsidR="00DD5C60" w:rsidRPr="00D164AF" w:rsidTr="00DD5C60">
        <w:trPr>
          <w:trHeight w:val="2891"/>
          <w:jc w:val="center"/>
        </w:trPr>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dane referencyjne 2014</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POWIAT PRZEWORSKI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(ogółem)</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(mężczyźni)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(kobiety)</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(ogółem)</w:t>
            </w:r>
          </w:p>
        </w:tc>
        <w:tc>
          <w:tcPr>
            <w:tcW w:w="316"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(mężczyźni)</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(kobiety)</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(ogółem)</w:t>
            </w:r>
          </w:p>
        </w:tc>
        <w:tc>
          <w:tcPr>
            <w:tcW w:w="317"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(mężczyźni)</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(kobiety)</w:t>
            </w:r>
          </w:p>
        </w:tc>
        <w:tc>
          <w:tcPr>
            <w:tcW w:w="316"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(ogółem)</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(mężczyźni)</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(kobiety)</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(ogółem)</w:t>
            </w:r>
          </w:p>
        </w:tc>
        <w:tc>
          <w:tcPr>
            <w:tcW w:w="317"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(mężczyźni)</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(kobiety)</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(ogółem)</w:t>
            </w:r>
          </w:p>
        </w:tc>
        <w:tc>
          <w:tcPr>
            <w:tcW w:w="317"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(mężczyźni)</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(kobiety)</w:t>
            </w:r>
          </w:p>
        </w:tc>
        <w:tc>
          <w:tcPr>
            <w:tcW w:w="316"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(ogółem)</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(mężczyźni)</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(kobiety)</w:t>
            </w:r>
          </w:p>
        </w:tc>
      </w:tr>
      <w:tr w:rsidR="00DD5C60" w:rsidRPr="00D164AF" w:rsidTr="00DD5C60">
        <w:trPr>
          <w:cantSplit/>
          <w:trHeight w:val="692"/>
          <w:jc w:val="center"/>
        </w:trPr>
        <w:tc>
          <w:tcPr>
            <w:tcW w:w="316" w:type="dxa"/>
            <w:tcBorders>
              <w:top w:val="nil"/>
              <w:left w:val="nil"/>
              <w:bottom w:val="single" w:sz="4" w:space="0" w:color="auto"/>
              <w:right w:val="single" w:sz="4" w:space="0" w:color="auto"/>
            </w:tcBorders>
            <w:shd w:val="clear" w:color="auto" w:fill="auto"/>
            <w:noWrap/>
            <w:textDirection w:val="btLr"/>
            <w:hideMark/>
          </w:tcPr>
          <w:p w:rsidR="00DD5C60" w:rsidRPr="00DD5C60" w:rsidRDefault="00DD5C60" w:rsidP="00DD5C60">
            <w:pPr>
              <w:ind w:left="113" w:right="113"/>
              <w:rPr>
                <w:sz w:val="18"/>
                <w:szCs w:val="18"/>
              </w:rPr>
            </w:pPr>
            <w:r w:rsidRPr="00DD5C60">
              <w:rPr>
                <w:sz w:val="18"/>
                <w:szCs w:val="18"/>
              </w:rPr>
              <w:t>38</w:t>
            </w:r>
          </w:p>
        </w:tc>
        <w:tc>
          <w:tcPr>
            <w:tcW w:w="317" w:type="dxa"/>
            <w:tcBorders>
              <w:top w:val="nil"/>
              <w:left w:val="nil"/>
              <w:bottom w:val="single" w:sz="4" w:space="0" w:color="auto"/>
              <w:right w:val="single" w:sz="4" w:space="0" w:color="auto"/>
            </w:tcBorders>
            <w:shd w:val="clear" w:color="auto" w:fill="auto"/>
            <w:noWrap/>
            <w:textDirection w:val="btLr"/>
            <w:hideMark/>
          </w:tcPr>
          <w:p w:rsidR="00DD5C60" w:rsidRPr="00DD5C60" w:rsidRDefault="00DD5C60" w:rsidP="00DD5C60">
            <w:pPr>
              <w:ind w:left="113" w:right="113"/>
              <w:rPr>
                <w:sz w:val="18"/>
                <w:szCs w:val="18"/>
              </w:rPr>
            </w:pPr>
            <w:r>
              <w:rPr>
                <w:sz w:val="18"/>
                <w:szCs w:val="18"/>
              </w:rPr>
              <w:t>bd</w:t>
            </w:r>
          </w:p>
        </w:tc>
        <w:tc>
          <w:tcPr>
            <w:tcW w:w="316" w:type="dxa"/>
            <w:tcBorders>
              <w:top w:val="nil"/>
              <w:left w:val="nil"/>
              <w:bottom w:val="single" w:sz="4" w:space="0" w:color="auto"/>
              <w:right w:val="single" w:sz="4" w:space="0" w:color="auto"/>
            </w:tcBorders>
            <w:shd w:val="clear" w:color="auto" w:fill="auto"/>
            <w:noWrap/>
            <w:textDirection w:val="btLr"/>
            <w:hideMark/>
          </w:tcPr>
          <w:p w:rsidR="00DD5C60" w:rsidRPr="00DD5C60" w:rsidRDefault="00DD5C60" w:rsidP="00DD5C60">
            <w:pPr>
              <w:ind w:left="113" w:right="113"/>
              <w:rPr>
                <w:sz w:val="18"/>
                <w:szCs w:val="18"/>
              </w:rPr>
            </w:pPr>
            <w:r w:rsidRPr="00DD5C60">
              <w:rPr>
                <w:sz w:val="18"/>
                <w:szCs w:val="18"/>
              </w:rPr>
              <w:t>37,455</w:t>
            </w:r>
          </w:p>
        </w:tc>
        <w:tc>
          <w:tcPr>
            <w:tcW w:w="317" w:type="dxa"/>
            <w:tcBorders>
              <w:top w:val="nil"/>
              <w:left w:val="nil"/>
              <w:bottom w:val="single" w:sz="4" w:space="0" w:color="auto"/>
              <w:right w:val="single" w:sz="4" w:space="0" w:color="auto"/>
            </w:tcBorders>
            <w:shd w:val="clear" w:color="auto" w:fill="auto"/>
            <w:noWrap/>
            <w:textDirection w:val="btLr"/>
            <w:hideMark/>
          </w:tcPr>
          <w:p w:rsidR="00DD5C60" w:rsidRPr="00DD5C60" w:rsidRDefault="00DD5C60" w:rsidP="00DD5C60">
            <w:pPr>
              <w:ind w:left="113" w:right="113"/>
              <w:rPr>
                <w:sz w:val="18"/>
                <w:szCs w:val="18"/>
              </w:rPr>
            </w:pPr>
            <w:r w:rsidRPr="00DD5C60">
              <w:rPr>
                <w:sz w:val="18"/>
                <w:szCs w:val="18"/>
              </w:rPr>
              <w:t>36,28</w:t>
            </w:r>
          </w:p>
        </w:tc>
        <w:tc>
          <w:tcPr>
            <w:tcW w:w="316" w:type="dxa"/>
            <w:tcBorders>
              <w:top w:val="nil"/>
              <w:left w:val="nil"/>
              <w:bottom w:val="single" w:sz="4" w:space="0" w:color="auto"/>
              <w:right w:val="single" w:sz="4" w:space="0" w:color="auto"/>
            </w:tcBorders>
            <w:shd w:val="clear" w:color="auto" w:fill="auto"/>
            <w:noWrap/>
            <w:textDirection w:val="btLr"/>
            <w:hideMark/>
          </w:tcPr>
          <w:p w:rsidR="00DD5C60" w:rsidRPr="00DD5C60" w:rsidRDefault="00DD5C60" w:rsidP="00DD5C60">
            <w:pPr>
              <w:ind w:left="113" w:right="113"/>
              <w:rPr>
                <w:sz w:val="18"/>
                <w:szCs w:val="18"/>
              </w:rPr>
            </w:pPr>
            <w:r w:rsidRPr="00DD5C60">
              <w:rPr>
                <w:sz w:val="18"/>
                <w:szCs w:val="18"/>
              </w:rPr>
              <w:t>38,63</w:t>
            </w:r>
          </w:p>
        </w:tc>
        <w:tc>
          <w:tcPr>
            <w:tcW w:w="317" w:type="dxa"/>
            <w:tcBorders>
              <w:top w:val="nil"/>
              <w:left w:val="nil"/>
              <w:bottom w:val="single" w:sz="4" w:space="0" w:color="auto"/>
              <w:right w:val="single" w:sz="4" w:space="0" w:color="auto"/>
            </w:tcBorders>
            <w:shd w:val="clear" w:color="000000" w:fill="FDE9D9"/>
            <w:noWrap/>
            <w:textDirection w:val="btLr"/>
            <w:hideMark/>
          </w:tcPr>
          <w:p w:rsidR="00DD5C60" w:rsidRPr="00147768" w:rsidRDefault="00DD5C60" w:rsidP="00DD5C60">
            <w:pPr>
              <w:ind w:left="113" w:right="113"/>
              <w:rPr>
                <w:color w:val="FF0000"/>
                <w:sz w:val="18"/>
                <w:szCs w:val="18"/>
              </w:rPr>
            </w:pPr>
            <w:r w:rsidRPr="00147768">
              <w:rPr>
                <w:color w:val="FF0000"/>
                <w:sz w:val="18"/>
                <w:szCs w:val="18"/>
              </w:rPr>
              <w:t>41,28</w:t>
            </w:r>
          </w:p>
        </w:tc>
        <w:tc>
          <w:tcPr>
            <w:tcW w:w="316" w:type="dxa"/>
            <w:tcBorders>
              <w:top w:val="nil"/>
              <w:left w:val="nil"/>
              <w:bottom w:val="single" w:sz="4" w:space="0" w:color="auto"/>
              <w:right w:val="single" w:sz="4" w:space="0" w:color="auto"/>
            </w:tcBorders>
            <w:shd w:val="clear" w:color="000000" w:fill="FDE9D9"/>
            <w:noWrap/>
            <w:textDirection w:val="btLr"/>
            <w:hideMark/>
          </w:tcPr>
          <w:p w:rsidR="00DD5C60" w:rsidRPr="00147768" w:rsidRDefault="00DD5C60" w:rsidP="00DD5C60">
            <w:pPr>
              <w:ind w:left="113" w:right="113"/>
              <w:rPr>
                <w:color w:val="FF0000"/>
                <w:sz w:val="18"/>
                <w:szCs w:val="18"/>
              </w:rPr>
            </w:pPr>
            <w:r w:rsidRPr="00147768">
              <w:rPr>
                <w:color w:val="FF0000"/>
                <w:sz w:val="18"/>
                <w:szCs w:val="18"/>
              </w:rPr>
              <w:t>37,3</w:t>
            </w:r>
          </w:p>
        </w:tc>
        <w:tc>
          <w:tcPr>
            <w:tcW w:w="317" w:type="dxa"/>
            <w:tcBorders>
              <w:top w:val="nil"/>
              <w:left w:val="nil"/>
              <w:bottom w:val="single" w:sz="4" w:space="0" w:color="auto"/>
              <w:right w:val="single" w:sz="4" w:space="0" w:color="auto"/>
            </w:tcBorders>
            <w:shd w:val="clear" w:color="000000" w:fill="FDE9D9"/>
            <w:noWrap/>
            <w:textDirection w:val="btLr"/>
            <w:hideMark/>
          </w:tcPr>
          <w:p w:rsidR="00DD5C60" w:rsidRPr="00147768" w:rsidRDefault="00DD5C60" w:rsidP="00DD5C60">
            <w:pPr>
              <w:ind w:left="113" w:right="113"/>
              <w:rPr>
                <w:color w:val="FF0000"/>
                <w:sz w:val="18"/>
                <w:szCs w:val="18"/>
              </w:rPr>
            </w:pPr>
            <w:r w:rsidRPr="00147768">
              <w:rPr>
                <w:color w:val="FF0000"/>
                <w:sz w:val="18"/>
                <w:szCs w:val="18"/>
              </w:rPr>
              <w:t>45,26</w:t>
            </w:r>
          </w:p>
        </w:tc>
        <w:tc>
          <w:tcPr>
            <w:tcW w:w="316" w:type="dxa"/>
            <w:tcBorders>
              <w:top w:val="nil"/>
              <w:left w:val="nil"/>
              <w:bottom w:val="single" w:sz="4" w:space="0" w:color="auto"/>
              <w:right w:val="single" w:sz="4" w:space="0" w:color="auto"/>
            </w:tcBorders>
            <w:shd w:val="clear" w:color="000000" w:fill="DAEEF3"/>
            <w:noWrap/>
            <w:textDirection w:val="btLr"/>
            <w:hideMark/>
          </w:tcPr>
          <w:p w:rsidR="00DD5C60" w:rsidRPr="00DD5C60" w:rsidRDefault="00DD5C60" w:rsidP="00DD5C60">
            <w:pPr>
              <w:ind w:left="113" w:right="113"/>
              <w:rPr>
                <w:sz w:val="18"/>
                <w:szCs w:val="18"/>
              </w:rPr>
            </w:pPr>
            <w:r w:rsidRPr="00DD5C60">
              <w:rPr>
                <w:sz w:val="18"/>
                <w:szCs w:val="18"/>
              </w:rPr>
              <w:t>37,465</w:t>
            </w:r>
          </w:p>
        </w:tc>
        <w:tc>
          <w:tcPr>
            <w:tcW w:w="317" w:type="dxa"/>
            <w:tcBorders>
              <w:top w:val="nil"/>
              <w:left w:val="nil"/>
              <w:bottom w:val="single" w:sz="4" w:space="0" w:color="auto"/>
              <w:right w:val="single" w:sz="4" w:space="0" w:color="auto"/>
            </w:tcBorders>
            <w:shd w:val="clear" w:color="000000" w:fill="DAEEF3"/>
            <w:noWrap/>
            <w:textDirection w:val="btLr"/>
            <w:hideMark/>
          </w:tcPr>
          <w:p w:rsidR="00DD5C60" w:rsidRPr="00DD5C60" w:rsidRDefault="00DD5C60" w:rsidP="00DD5C60">
            <w:pPr>
              <w:ind w:left="113" w:right="113"/>
              <w:rPr>
                <w:sz w:val="18"/>
                <w:szCs w:val="18"/>
              </w:rPr>
            </w:pPr>
            <w:r w:rsidRPr="00DD5C60">
              <w:rPr>
                <w:sz w:val="18"/>
                <w:szCs w:val="18"/>
              </w:rPr>
              <w:t>36,84</w:t>
            </w:r>
          </w:p>
        </w:tc>
        <w:tc>
          <w:tcPr>
            <w:tcW w:w="316" w:type="dxa"/>
            <w:tcBorders>
              <w:top w:val="nil"/>
              <w:left w:val="nil"/>
              <w:bottom w:val="single" w:sz="4" w:space="0" w:color="auto"/>
              <w:right w:val="single" w:sz="4" w:space="0" w:color="auto"/>
            </w:tcBorders>
            <w:shd w:val="clear" w:color="000000" w:fill="DAEEF3"/>
            <w:noWrap/>
            <w:textDirection w:val="btLr"/>
            <w:hideMark/>
          </w:tcPr>
          <w:p w:rsidR="00DD5C60" w:rsidRPr="00DD5C60" w:rsidRDefault="00DD5C60" w:rsidP="00DD5C60">
            <w:pPr>
              <w:ind w:left="113" w:right="113"/>
              <w:rPr>
                <w:sz w:val="18"/>
                <w:szCs w:val="18"/>
              </w:rPr>
            </w:pPr>
            <w:r w:rsidRPr="00DD5C60">
              <w:rPr>
                <w:sz w:val="18"/>
                <w:szCs w:val="18"/>
              </w:rPr>
              <w:t>38,09</w:t>
            </w:r>
          </w:p>
        </w:tc>
        <w:tc>
          <w:tcPr>
            <w:tcW w:w="317" w:type="dxa"/>
            <w:tcBorders>
              <w:top w:val="nil"/>
              <w:left w:val="nil"/>
              <w:bottom w:val="single" w:sz="4" w:space="0" w:color="auto"/>
              <w:right w:val="single" w:sz="4" w:space="0" w:color="auto"/>
            </w:tcBorders>
            <w:shd w:val="clear" w:color="auto" w:fill="auto"/>
            <w:noWrap/>
            <w:textDirection w:val="btLr"/>
            <w:hideMark/>
          </w:tcPr>
          <w:p w:rsidR="00DD5C60" w:rsidRPr="00DD5C60" w:rsidRDefault="00DD5C60" w:rsidP="00DD5C60">
            <w:pPr>
              <w:ind w:left="113" w:right="113"/>
              <w:rPr>
                <w:sz w:val="18"/>
                <w:szCs w:val="18"/>
              </w:rPr>
            </w:pPr>
            <w:r w:rsidRPr="00DD5C60">
              <w:rPr>
                <w:sz w:val="18"/>
                <w:szCs w:val="18"/>
              </w:rPr>
              <w:t>37,645</w:t>
            </w:r>
          </w:p>
        </w:tc>
        <w:tc>
          <w:tcPr>
            <w:tcW w:w="316" w:type="dxa"/>
            <w:tcBorders>
              <w:top w:val="nil"/>
              <w:left w:val="nil"/>
              <w:bottom w:val="single" w:sz="4" w:space="0" w:color="auto"/>
              <w:right w:val="single" w:sz="4" w:space="0" w:color="auto"/>
            </w:tcBorders>
            <w:shd w:val="clear" w:color="auto" w:fill="auto"/>
            <w:noWrap/>
            <w:textDirection w:val="btLr"/>
            <w:hideMark/>
          </w:tcPr>
          <w:p w:rsidR="00DD5C60" w:rsidRPr="00DD5C60" w:rsidRDefault="00DD5C60" w:rsidP="00DD5C60">
            <w:pPr>
              <w:ind w:left="113" w:right="113"/>
              <w:rPr>
                <w:sz w:val="18"/>
                <w:szCs w:val="18"/>
              </w:rPr>
            </w:pPr>
            <w:r w:rsidRPr="00DD5C60">
              <w:rPr>
                <w:sz w:val="18"/>
                <w:szCs w:val="18"/>
              </w:rPr>
              <w:t>36,19</w:t>
            </w:r>
          </w:p>
        </w:tc>
        <w:tc>
          <w:tcPr>
            <w:tcW w:w="317" w:type="dxa"/>
            <w:tcBorders>
              <w:top w:val="nil"/>
              <w:left w:val="nil"/>
              <w:bottom w:val="single" w:sz="4" w:space="0" w:color="auto"/>
              <w:right w:val="single" w:sz="4" w:space="0" w:color="auto"/>
            </w:tcBorders>
            <w:shd w:val="clear" w:color="auto" w:fill="auto"/>
            <w:noWrap/>
            <w:textDirection w:val="btLr"/>
            <w:hideMark/>
          </w:tcPr>
          <w:p w:rsidR="00DD5C60" w:rsidRPr="00DD5C60" w:rsidRDefault="00DD5C60" w:rsidP="00DD5C60">
            <w:pPr>
              <w:ind w:left="113" w:right="113"/>
              <w:rPr>
                <w:sz w:val="18"/>
                <w:szCs w:val="18"/>
              </w:rPr>
            </w:pPr>
            <w:r w:rsidRPr="00DD5C60">
              <w:rPr>
                <w:sz w:val="18"/>
                <w:szCs w:val="18"/>
              </w:rPr>
              <w:t>39,1</w:t>
            </w:r>
          </w:p>
        </w:tc>
        <w:tc>
          <w:tcPr>
            <w:tcW w:w="316" w:type="dxa"/>
            <w:tcBorders>
              <w:top w:val="nil"/>
              <w:left w:val="nil"/>
              <w:bottom w:val="single" w:sz="4" w:space="0" w:color="auto"/>
              <w:right w:val="single" w:sz="4" w:space="0" w:color="auto"/>
            </w:tcBorders>
            <w:shd w:val="clear" w:color="000000" w:fill="E4DFEC"/>
            <w:noWrap/>
            <w:textDirection w:val="btLr"/>
            <w:hideMark/>
          </w:tcPr>
          <w:p w:rsidR="00DD5C60" w:rsidRPr="00DD5C60" w:rsidRDefault="00DD5C60" w:rsidP="00DD5C60">
            <w:pPr>
              <w:ind w:left="113" w:right="113"/>
              <w:rPr>
                <w:sz w:val="18"/>
                <w:szCs w:val="18"/>
              </w:rPr>
            </w:pPr>
            <w:r w:rsidRPr="00DD5C60">
              <w:rPr>
                <w:sz w:val="18"/>
                <w:szCs w:val="18"/>
              </w:rPr>
              <w:t>35,47</w:t>
            </w:r>
          </w:p>
        </w:tc>
        <w:tc>
          <w:tcPr>
            <w:tcW w:w="317" w:type="dxa"/>
            <w:tcBorders>
              <w:top w:val="nil"/>
              <w:left w:val="nil"/>
              <w:bottom w:val="single" w:sz="4" w:space="0" w:color="auto"/>
              <w:right w:val="single" w:sz="4" w:space="0" w:color="auto"/>
            </w:tcBorders>
            <w:shd w:val="clear" w:color="000000" w:fill="E4DFEC"/>
            <w:noWrap/>
            <w:textDirection w:val="btLr"/>
            <w:hideMark/>
          </w:tcPr>
          <w:p w:rsidR="00DD5C60" w:rsidRPr="00DD5C60" w:rsidRDefault="00DD5C60" w:rsidP="00DD5C60">
            <w:pPr>
              <w:ind w:left="113" w:right="113"/>
              <w:rPr>
                <w:sz w:val="18"/>
                <w:szCs w:val="18"/>
              </w:rPr>
            </w:pPr>
            <w:r w:rsidRPr="00DD5C60">
              <w:rPr>
                <w:sz w:val="18"/>
                <w:szCs w:val="18"/>
              </w:rPr>
              <w:t>35,62</w:t>
            </w:r>
          </w:p>
        </w:tc>
        <w:tc>
          <w:tcPr>
            <w:tcW w:w="317" w:type="dxa"/>
            <w:tcBorders>
              <w:top w:val="nil"/>
              <w:left w:val="nil"/>
              <w:bottom w:val="single" w:sz="4" w:space="0" w:color="auto"/>
              <w:right w:val="single" w:sz="4" w:space="0" w:color="auto"/>
            </w:tcBorders>
            <w:shd w:val="clear" w:color="000000" w:fill="E4DFEC"/>
            <w:noWrap/>
            <w:textDirection w:val="btLr"/>
            <w:hideMark/>
          </w:tcPr>
          <w:p w:rsidR="00DD5C60" w:rsidRPr="00DD5C60" w:rsidRDefault="00DD5C60" w:rsidP="00DD5C60">
            <w:pPr>
              <w:ind w:left="113" w:right="113"/>
              <w:rPr>
                <w:sz w:val="18"/>
                <w:szCs w:val="18"/>
              </w:rPr>
            </w:pPr>
            <w:r w:rsidRPr="00DD5C60">
              <w:rPr>
                <w:sz w:val="18"/>
                <w:szCs w:val="18"/>
              </w:rPr>
              <w:t>35,32</w:t>
            </w:r>
          </w:p>
        </w:tc>
        <w:tc>
          <w:tcPr>
            <w:tcW w:w="316" w:type="dxa"/>
            <w:tcBorders>
              <w:top w:val="nil"/>
              <w:left w:val="nil"/>
              <w:bottom w:val="single" w:sz="4" w:space="0" w:color="auto"/>
              <w:right w:val="single" w:sz="4" w:space="0" w:color="auto"/>
            </w:tcBorders>
            <w:shd w:val="clear" w:color="000000" w:fill="EBF1DE"/>
            <w:noWrap/>
            <w:textDirection w:val="btLr"/>
            <w:hideMark/>
          </w:tcPr>
          <w:p w:rsidR="00DD5C60" w:rsidRPr="00DD5C60" w:rsidRDefault="00DD5C60" w:rsidP="00DD5C60">
            <w:pPr>
              <w:ind w:left="113" w:right="113"/>
              <w:rPr>
                <w:sz w:val="18"/>
                <w:szCs w:val="18"/>
              </w:rPr>
            </w:pPr>
            <w:r w:rsidRPr="00DD5C60">
              <w:rPr>
                <w:sz w:val="18"/>
                <w:szCs w:val="18"/>
              </w:rPr>
              <w:t>35,47</w:t>
            </w:r>
          </w:p>
        </w:tc>
        <w:tc>
          <w:tcPr>
            <w:tcW w:w="317" w:type="dxa"/>
            <w:tcBorders>
              <w:top w:val="nil"/>
              <w:left w:val="nil"/>
              <w:bottom w:val="single" w:sz="4" w:space="0" w:color="auto"/>
              <w:right w:val="single" w:sz="4" w:space="0" w:color="auto"/>
            </w:tcBorders>
            <w:shd w:val="clear" w:color="000000" w:fill="EBF1DE"/>
            <w:noWrap/>
            <w:textDirection w:val="btLr"/>
            <w:hideMark/>
          </w:tcPr>
          <w:p w:rsidR="00DD5C60" w:rsidRPr="00DD5C60" w:rsidRDefault="00DD5C60" w:rsidP="00DD5C60">
            <w:pPr>
              <w:ind w:left="113" w:right="113"/>
              <w:rPr>
                <w:sz w:val="18"/>
                <w:szCs w:val="18"/>
              </w:rPr>
            </w:pPr>
            <w:r w:rsidRPr="00DD5C60">
              <w:rPr>
                <w:sz w:val="18"/>
                <w:szCs w:val="18"/>
              </w:rPr>
              <w:t>33,83</w:t>
            </w:r>
          </w:p>
        </w:tc>
        <w:tc>
          <w:tcPr>
            <w:tcW w:w="316" w:type="dxa"/>
            <w:tcBorders>
              <w:top w:val="nil"/>
              <w:left w:val="nil"/>
              <w:bottom w:val="single" w:sz="4" w:space="0" w:color="auto"/>
              <w:right w:val="single" w:sz="4" w:space="0" w:color="auto"/>
            </w:tcBorders>
            <w:shd w:val="clear" w:color="000000" w:fill="EBF1DE"/>
            <w:noWrap/>
            <w:textDirection w:val="btLr"/>
            <w:hideMark/>
          </w:tcPr>
          <w:p w:rsidR="00DD5C60" w:rsidRPr="00DD5C60" w:rsidRDefault="00DD5C60" w:rsidP="00DD5C60">
            <w:pPr>
              <w:ind w:left="113" w:right="113"/>
              <w:rPr>
                <w:sz w:val="18"/>
                <w:szCs w:val="18"/>
              </w:rPr>
            </w:pPr>
            <w:r w:rsidRPr="00DD5C60">
              <w:rPr>
                <w:sz w:val="18"/>
                <w:szCs w:val="18"/>
              </w:rPr>
              <w:t>37,11</w:t>
            </w:r>
          </w:p>
        </w:tc>
        <w:tc>
          <w:tcPr>
            <w:tcW w:w="317" w:type="dxa"/>
            <w:tcBorders>
              <w:top w:val="nil"/>
              <w:left w:val="nil"/>
              <w:bottom w:val="single" w:sz="4" w:space="0" w:color="auto"/>
              <w:right w:val="single" w:sz="4" w:space="0" w:color="auto"/>
            </w:tcBorders>
            <w:shd w:val="clear" w:color="auto" w:fill="auto"/>
            <w:noWrap/>
            <w:textDirection w:val="btLr"/>
            <w:hideMark/>
          </w:tcPr>
          <w:p w:rsidR="00DD5C60" w:rsidRPr="00147768" w:rsidRDefault="00DD5C60" w:rsidP="00DD5C60">
            <w:pPr>
              <w:ind w:left="113" w:right="113"/>
              <w:rPr>
                <w:color w:val="FF0000"/>
                <w:sz w:val="18"/>
                <w:szCs w:val="18"/>
              </w:rPr>
            </w:pPr>
            <w:r w:rsidRPr="00147768">
              <w:rPr>
                <w:color w:val="FF0000"/>
                <w:sz w:val="18"/>
                <w:szCs w:val="18"/>
              </w:rPr>
              <w:t>38,075</w:t>
            </w:r>
          </w:p>
        </w:tc>
        <w:tc>
          <w:tcPr>
            <w:tcW w:w="316" w:type="dxa"/>
            <w:tcBorders>
              <w:top w:val="nil"/>
              <w:left w:val="nil"/>
              <w:bottom w:val="single" w:sz="4" w:space="0" w:color="auto"/>
              <w:right w:val="single" w:sz="4" w:space="0" w:color="auto"/>
            </w:tcBorders>
            <w:shd w:val="clear" w:color="auto" w:fill="auto"/>
            <w:noWrap/>
            <w:textDirection w:val="btLr"/>
            <w:hideMark/>
          </w:tcPr>
          <w:p w:rsidR="00DD5C60" w:rsidRPr="00147768" w:rsidRDefault="00DD5C60" w:rsidP="00DD5C60">
            <w:pPr>
              <w:ind w:left="113" w:right="113"/>
              <w:rPr>
                <w:color w:val="FF0000"/>
                <w:sz w:val="18"/>
                <w:szCs w:val="18"/>
              </w:rPr>
            </w:pPr>
            <w:r w:rsidRPr="00147768">
              <w:rPr>
                <w:color w:val="FF0000"/>
                <w:sz w:val="18"/>
                <w:szCs w:val="18"/>
              </w:rPr>
              <w:t>37,75</w:t>
            </w:r>
          </w:p>
        </w:tc>
        <w:tc>
          <w:tcPr>
            <w:tcW w:w="317" w:type="dxa"/>
            <w:tcBorders>
              <w:top w:val="nil"/>
              <w:left w:val="nil"/>
              <w:bottom w:val="single" w:sz="4" w:space="0" w:color="auto"/>
              <w:right w:val="single" w:sz="4" w:space="0" w:color="auto"/>
            </w:tcBorders>
            <w:shd w:val="clear" w:color="auto" w:fill="auto"/>
            <w:noWrap/>
            <w:textDirection w:val="btLr"/>
            <w:hideMark/>
          </w:tcPr>
          <w:p w:rsidR="00DD5C60" w:rsidRPr="00147768" w:rsidRDefault="00DD5C60" w:rsidP="00DD5C60">
            <w:pPr>
              <w:ind w:left="113" w:right="113"/>
              <w:rPr>
                <w:color w:val="FF0000"/>
                <w:sz w:val="18"/>
                <w:szCs w:val="18"/>
              </w:rPr>
            </w:pPr>
            <w:r w:rsidRPr="00147768">
              <w:rPr>
                <w:color w:val="FF0000"/>
                <w:sz w:val="18"/>
                <w:szCs w:val="18"/>
              </w:rPr>
              <w:t>38,4</w:t>
            </w:r>
          </w:p>
        </w:tc>
        <w:tc>
          <w:tcPr>
            <w:tcW w:w="316" w:type="dxa"/>
            <w:tcBorders>
              <w:top w:val="nil"/>
              <w:left w:val="nil"/>
              <w:bottom w:val="single" w:sz="4" w:space="0" w:color="auto"/>
              <w:right w:val="single" w:sz="4" w:space="0" w:color="auto"/>
            </w:tcBorders>
            <w:shd w:val="clear" w:color="000000" w:fill="C5D9F1"/>
            <w:noWrap/>
            <w:textDirection w:val="btLr"/>
            <w:hideMark/>
          </w:tcPr>
          <w:p w:rsidR="00DD5C60" w:rsidRPr="00DD5C60" w:rsidRDefault="00DD5C60" w:rsidP="00DD5C60">
            <w:pPr>
              <w:ind w:left="113" w:right="113"/>
              <w:rPr>
                <w:sz w:val="18"/>
                <w:szCs w:val="18"/>
              </w:rPr>
            </w:pPr>
            <w:r w:rsidRPr="00DD5C60">
              <w:rPr>
                <w:sz w:val="18"/>
                <w:szCs w:val="18"/>
              </w:rPr>
              <w:t>37,01</w:t>
            </w:r>
          </w:p>
        </w:tc>
        <w:tc>
          <w:tcPr>
            <w:tcW w:w="317" w:type="dxa"/>
            <w:tcBorders>
              <w:top w:val="nil"/>
              <w:left w:val="nil"/>
              <w:bottom w:val="single" w:sz="4" w:space="0" w:color="auto"/>
              <w:right w:val="single" w:sz="4" w:space="0" w:color="auto"/>
            </w:tcBorders>
            <w:shd w:val="clear" w:color="000000" w:fill="C5D9F1"/>
            <w:noWrap/>
            <w:textDirection w:val="btLr"/>
            <w:hideMark/>
          </w:tcPr>
          <w:p w:rsidR="00DD5C60" w:rsidRPr="00DD5C60" w:rsidRDefault="00DD5C60" w:rsidP="00DD5C60">
            <w:pPr>
              <w:ind w:left="113" w:right="113"/>
              <w:rPr>
                <w:sz w:val="18"/>
                <w:szCs w:val="18"/>
              </w:rPr>
            </w:pPr>
            <w:r w:rsidRPr="00DD5C60">
              <w:rPr>
                <w:sz w:val="18"/>
                <w:szCs w:val="18"/>
              </w:rPr>
              <w:t>36,84</w:t>
            </w:r>
          </w:p>
        </w:tc>
        <w:tc>
          <w:tcPr>
            <w:tcW w:w="316" w:type="dxa"/>
            <w:tcBorders>
              <w:top w:val="nil"/>
              <w:left w:val="nil"/>
              <w:bottom w:val="single" w:sz="4" w:space="0" w:color="auto"/>
              <w:right w:val="single" w:sz="4" w:space="0" w:color="auto"/>
            </w:tcBorders>
            <w:shd w:val="clear" w:color="000000" w:fill="C5D9F1"/>
            <w:noWrap/>
            <w:textDirection w:val="btLr"/>
            <w:hideMark/>
          </w:tcPr>
          <w:p w:rsidR="00DD5C60" w:rsidRPr="00DD5C60" w:rsidRDefault="00DD5C60" w:rsidP="00DD5C60">
            <w:pPr>
              <w:ind w:left="113" w:right="113"/>
              <w:rPr>
                <w:sz w:val="18"/>
                <w:szCs w:val="18"/>
              </w:rPr>
            </w:pPr>
            <w:r w:rsidRPr="00DD5C60">
              <w:rPr>
                <w:sz w:val="18"/>
                <w:szCs w:val="18"/>
              </w:rPr>
              <w:t>37,18</w:t>
            </w:r>
          </w:p>
        </w:tc>
        <w:tc>
          <w:tcPr>
            <w:tcW w:w="317" w:type="dxa"/>
            <w:tcBorders>
              <w:top w:val="nil"/>
              <w:left w:val="nil"/>
              <w:bottom w:val="single" w:sz="4" w:space="0" w:color="auto"/>
              <w:right w:val="single" w:sz="4" w:space="0" w:color="auto"/>
            </w:tcBorders>
            <w:shd w:val="clear" w:color="auto" w:fill="auto"/>
            <w:noWrap/>
            <w:textDirection w:val="btLr"/>
            <w:hideMark/>
          </w:tcPr>
          <w:p w:rsidR="00DD5C60" w:rsidRPr="00147768" w:rsidRDefault="00DD5C60" w:rsidP="00DD5C60">
            <w:pPr>
              <w:ind w:left="113" w:right="113"/>
              <w:rPr>
                <w:color w:val="FF0000"/>
                <w:sz w:val="18"/>
                <w:szCs w:val="18"/>
              </w:rPr>
            </w:pPr>
            <w:r w:rsidRPr="00147768">
              <w:rPr>
                <w:color w:val="FF0000"/>
                <w:sz w:val="18"/>
                <w:szCs w:val="18"/>
              </w:rPr>
              <w:t>38,45</w:t>
            </w:r>
          </w:p>
        </w:tc>
        <w:tc>
          <w:tcPr>
            <w:tcW w:w="316" w:type="dxa"/>
            <w:tcBorders>
              <w:top w:val="nil"/>
              <w:left w:val="nil"/>
              <w:bottom w:val="single" w:sz="4" w:space="0" w:color="auto"/>
              <w:right w:val="single" w:sz="4" w:space="0" w:color="auto"/>
            </w:tcBorders>
            <w:shd w:val="clear" w:color="auto" w:fill="auto"/>
            <w:noWrap/>
            <w:textDirection w:val="btLr"/>
            <w:hideMark/>
          </w:tcPr>
          <w:p w:rsidR="00DD5C60" w:rsidRPr="00147768" w:rsidRDefault="00DD5C60" w:rsidP="00DD5C60">
            <w:pPr>
              <w:ind w:left="113" w:right="113"/>
              <w:rPr>
                <w:color w:val="FF0000"/>
                <w:sz w:val="18"/>
                <w:szCs w:val="18"/>
              </w:rPr>
            </w:pPr>
            <w:r w:rsidRPr="00147768">
              <w:rPr>
                <w:color w:val="FF0000"/>
                <w:sz w:val="18"/>
                <w:szCs w:val="18"/>
              </w:rPr>
              <w:t>38,27</w:t>
            </w:r>
          </w:p>
        </w:tc>
        <w:tc>
          <w:tcPr>
            <w:tcW w:w="317" w:type="dxa"/>
            <w:tcBorders>
              <w:top w:val="nil"/>
              <w:left w:val="nil"/>
              <w:bottom w:val="single" w:sz="4" w:space="0" w:color="auto"/>
              <w:right w:val="single" w:sz="4" w:space="0" w:color="auto"/>
            </w:tcBorders>
            <w:shd w:val="clear" w:color="auto" w:fill="auto"/>
            <w:noWrap/>
            <w:textDirection w:val="btLr"/>
            <w:hideMark/>
          </w:tcPr>
          <w:p w:rsidR="00DD5C60" w:rsidRPr="00147768" w:rsidRDefault="00DD5C60" w:rsidP="00DD5C60">
            <w:pPr>
              <w:ind w:left="113" w:right="113"/>
              <w:rPr>
                <w:color w:val="FF0000"/>
                <w:sz w:val="18"/>
                <w:szCs w:val="18"/>
              </w:rPr>
            </w:pPr>
            <w:r w:rsidRPr="00147768">
              <w:rPr>
                <w:color w:val="FF0000"/>
                <w:sz w:val="18"/>
                <w:szCs w:val="18"/>
              </w:rPr>
              <w:t>38,63</w:t>
            </w:r>
          </w:p>
        </w:tc>
        <w:tc>
          <w:tcPr>
            <w:tcW w:w="316" w:type="dxa"/>
            <w:tcBorders>
              <w:top w:val="nil"/>
              <w:left w:val="nil"/>
              <w:bottom w:val="single" w:sz="4" w:space="0" w:color="auto"/>
              <w:right w:val="single" w:sz="4" w:space="0" w:color="auto"/>
            </w:tcBorders>
            <w:shd w:val="clear" w:color="000000" w:fill="DDD9C4"/>
            <w:noWrap/>
            <w:textDirection w:val="btLr"/>
            <w:hideMark/>
          </w:tcPr>
          <w:p w:rsidR="00DD5C60" w:rsidRPr="00DD5C60" w:rsidRDefault="00DD5C60" w:rsidP="00DD5C60">
            <w:pPr>
              <w:ind w:left="113" w:right="113"/>
              <w:rPr>
                <w:sz w:val="18"/>
                <w:szCs w:val="18"/>
              </w:rPr>
            </w:pPr>
            <w:r w:rsidRPr="00DD5C60">
              <w:rPr>
                <w:sz w:val="18"/>
                <w:szCs w:val="18"/>
              </w:rPr>
              <w:t>36,29</w:t>
            </w:r>
          </w:p>
        </w:tc>
        <w:tc>
          <w:tcPr>
            <w:tcW w:w="317" w:type="dxa"/>
            <w:tcBorders>
              <w:top w:val="nil"/>
              <w:left w:val="nil"/>
              <w:bottom w:val="single" w:sz="4" w:space="0" w:color="auto"/>
              <w:right w:val="single" w:sz="4" w:space="0" w:color="auto"/>
            </w:tcBorders>
            <w:shd w:val="clear" w:color="000000" w:fill="DDD9C4"/>
            <w:noWrap/>
            <w:textDirection w:val="btLr"/>
            <w:hideMark/>
          </w:tcPr>
          <w:p w:rsidR="00DD5C60" w:rsidRPr="00DD5C60" w:rsidRDefault="00DD5C60" w:rsidP="00DD5C60">
            <w:pPr>
              <w:ind w:left="113" w:right="113"/>
              <w:rPr>
                <w:sz w:val="18"/>
                <w:szCs w:val="18"/>
              </w:rPr>
            </w:pPr>
            <w:r w:rsidRPr="00DD5C60">
              <w:rPr>
                <w:sz w:val="18"/>
                <w:szCs w:val="18"/>
              </w:rPr>
              <w:t>33,95</w:t>
            </w:r>
          </w:p>
        </w:tc>
        <w:tc>
          <w:tcPr>
            <w:tcW w:w="317" w:type="dxa"/>
            <w:tcBorders>
              <w:top w:val="nil"/>
              <w:left w:val="nil"/>
              <w:bottom w:val="single" w:sz="4" w:space="0" w:color="auto"/>
              <w:right w:val="single" w:sz="4" w:space="0" w:color="auto"/>
            </w:tcBorders>
            <w:shd w:val="clear" w:color="000000" w:fill="DDD9C4"/>
            <w:noWrap/>
            <w:textDirection w:val="btLr"/>
            <w:hideMark/>
          </w:tcPr>
          <w:p w:rsidR="00DD5C60" w:rsidRPr="00DD5C60" w:rsidRDefault="00DD5C60" w:rsidP="00DD5C60">
            <w:pPr>
              <w:ind w:left="113" w:right="113"/>
              <w:rPr>
                <w:sz w:val="18"/>
                <w:szCs w:val="18"/>
              </w:rPr>
            </w:pPr>
            <w:r w:rsidRPr="00147768">
              <w:rPr>
                <w:color w:val="FF0000"/>
                <w:sz w:val="18"/>
                <w:szCs w:val="18"/>
              </w:rPr>
              <w:t>38,63</w:t>
            </w:r>
          </w:p>
        </w:tc>
      </w:tr>
    </w:tbl>
    <w:p w:rsidR="00DD5C60" w:rsidRDefault="00DD5C60" w:rsidP="00DD5C60">
      <w:pPr>
        <w:pStyle w:val="Legenda"/>
        <w:spacing w:line="276" w:lineRule="auto"/>
      </w:pPr>
      <w:r w:rsidRPr="00FB4E3B">
        <w:t xml:space="preserve">Źródło: </w:t>
      </w:r>
      <w:r>
        <w:t xml:space="preserve">opracowanie własne na podstawie </w:t>
      </w:r>
      <w:r w:rsidRPr="00FB4E3B">
        <w:t>Bank</w:t>
      </w:r>
      <w:r>
        <w:t>u</w:t>
      </w:r>
      <w:r w:rsidRPr="00FB4E3B">
        <w:t xml:space="preserve"> Danych Lokalnych GUS</w:t>
      </w:r>
      <w:r>
        <w:t xml:space="preserve"> oraz danych szacunkowych w proporcji do liczby zamieszkałych kobiet i mężczyzn w poszczególnych miejscowościach gminnych.</w:t>
      </w:r>
      <w:r w:rsidR="00763DD6">
        <w:t xml:space="preserve"> – dane za 2014 rok</w:t>
      </w:r>
    </w:p>
    <w:p w:rsidR="00DD5C60" w:rsidRDefault="00DD5C60" w:rsidP="00DD5C60"/>
    <w:p w:rsidR="00DD5C60" w:rsidRDefault="00DD5C60" w:rsidP="00DD5C60">
      <w:pPr>
        <w:pStyle w:val="Legenda"/>
      </w:pPr>
      <w:bookmarkStart w:id="87" w:name="_Toc495887781"/>
      <w:r>
        <w:t xml:space="preserve">Mapa </w:t>
      </w:r>
      <w:r w:rsidR="00172343">
        <w:fldChar w:fldCharType="begin"/>
      </w:r>
      <w:r w:rsidR="00172343">
        <w:instrText xml:space="preserve"> SEQ Mapa \* ARABIC </w:instrText>
      </w:r>
      <w:r w:rsidR="00172343">
        <w:fldChar w:fldCharType="separate"/>
      </w:r>
      <w:r w:rsidR="00883893">
        <w:rPr>
          <w:noProof/>
        </w:rPr>
        <w:t>5</w:t>
      </w:r>
      <w:r w:rsidR="00172343">
        <w:rPr>
          <w:noProof/>
        </w:rPr>
        <w:fldChar w:fldCharType="end"/>
      </w:r>
      <w:r>
        <w:t xml:space="preserve"> </w:t>
      </w:r>
      <w:r w:rsidR="00147768">
        <w:t>„</w:t>
      </w:r>
      <w:r>
        <w:t>Mediana wieku</w:t>
      </w:r>
      <w:r w:rsidRPr="007C3562">
        <w:t xml:space="preserve"> wg faktycznego miejsca zamieszkania</w:t>
      </w:r>
      <w:r>
        <w:t>” dla poszczególnych miejscowości</w:t>
      </w:r>
      <w:bookmarkEnd w:id="87"/>
    </w:p>
    <w:p w:rsidR="00DD5C60" w:rsidRDefault="00DD5C60" w:rsidP="00DD5C60">
      <w:r>
        <w:rPr>
          <w:noProof/>
          <w:lang w:eastAsia="pl-PL"/>
        </w:rPr>
        <w:drawing>
          <wp:anchor distT="0" distB="0" distL="114300" distR="114300" simplePos="0" relativeHeight="251659264" behindDoc="1" locked="0" layoutInCell="1" allowOverlap="1">
            <wp:simplePos x="0" y="0"/>
            <wp:positionH relativeFrom="column">
              <wp:posOffset>-4445</wp:posOffset>
            </wp:positionH>
            <wp:positionV relativeFrom="paragraph">
              <wp:posOffset>-3810</wp:posOffset>
            </wp:positionV>
            <wp:extent cx="3585845" cy="4352925"/>
            <wp:effectExtent l="0" t="0" r="0" b="9525"/>
            <wp:wrapTight wrapText="bothSides">
              <wp:wrapPolygon edited="0">
                <wp:start x="0" y="0"/>
                <wp:lineTo x="0" y="21553"/>
                <wp:lineTo x="21458" y="21553"/>
                <wp:lineTo x="21458"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85845" cy="435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C60" w:rsidRDefault="00DD5C60" w:rsidP="00DD5C60"/>
    <w:p w:rsidR="00DD5C60" w:rsidRDefault="00DD5C60" w:rsidP="00DD5C60"/>
    <w:p w:rsidR="00DD5C60" w:rsidRDefault="00DD5C60" w:rsidP="00DD5C60"/>
    <w:p w:rsidR="00DD5C60" w:rsidRDefault="00DD5C60" w:rsidP="00DD5C60"/>
    <w:p w:rsidR="00DD5C60" w:rsidRDefault="00DD5C60" w:rsidP="00DD5C60"/>
    <w:p w:rsidR="00DD5C60" w:rsidRDefault="00DD5C60" w:rsidP="00DD5C60"/>
    <w:p w:rsidR="00DD5C60" w:rsidRDefault="00DD5C60" w:rsidP="00DD5C60"/>
    <w:p w:rsidR="00DD5C60" w:rsidRDefault="00DD5C60" w:rsidP="00DD5C60"/>
    <w:p w:rsidR="00DD5C60" w:rsidRDefault="00DD5C60" w:rsidP="00DD5C60"/>
    <w:p w:rsidR="00DD5C60" w:rsidRDefault="00DD5C60" w:rsidP="00DD5C60"/>
    <w:p w:rsidR="00DD5C60" w:rsidRDefault="00DD5C60" w:rsidP="00DD5C60">
      <w:pPr>
        <w:pStyle w:val="Legenda"/>
        <w:spacing w:line="276" w:lineRule="auto"/>
      </w:pPr>
      <w:r w:rsidRPr="00FB4E3B">
        <w:t xml:space="preserve">Źródło: </w:t>
      </w:r>
      <w:r>
        <w:t xml:space="preserve">opracowanie własne na podstawie </w:t>
      </w:r>
      <w:r w:rsidRPr="00FB4E3B">
        <w:t>Bank</w:t>
      </w:r>
      <w:r>
        <w:t>u</w:t>
      </w:r>
      <w:r w:rsidRPr="00FB4E3B">
        <w:t xml:space="preserve"> Danych Lokalnych GUS</w:t>
      </w:r>
      <w:r>
        <w:t xml:space="preserve"> oraz danych szacunkowych w proporcji do liczby zamieszkałych kobiet i mężczyzn w poszczególnych miejscowościach gminnych.</w:t>
      </w:r>
    </w:p>
    <w:p w:rsidR="00DD5C60" w:rsidRDefault="00DD5C60" w:rsidP="00DD5C60">
      <w:pPr>
        <w:pStyle w:val="Akapitzlist"/>
        <w:numPr>
          <w:ilvl w:val="0"/>
          <w:numId w:val="3"/>
        </w:numPr>
        <w:jc w:val="both"/>
        <w:sectPr w:rsidR="00DD5C60">
          <w:pgSz w:w="11906" w:h="16838"/>
          <w:pgMar w:top="1417" w:right="1417" w:bottom="1417" w:left="1417" w:header="708" w:footer="708" w:gutter="0"/>
          <w:cols w:space="708"/>
          <w:docGrid w:linePitch="360"/>
        </w:sectPr>
      </w:pPr>
    </w:p>
    <w:p w:rsidR="00D164AF" w:rsidRDefault="00D164AF" w:rsidP="00DD5C60">
      <w:pPr>
        <w:pStyle w:val="Akapitzlist"/>
        <w:numPr>
          <w:ilvl w:val="0"/>
          <w:numId w:val="2"/>
        </w:numPr>
        <w:jc w:val="both"/>
      </w:pPr>
      <w:r w:rsidRPr="00D164AF">
        <w:lastRenderedPageBreak/>
        <w:t>Przyrost naturalny w przeliczeniu na 100 osób wg faktycznego miejsca zamieszkania</w:t>
      </w:r>
    </w:p>
    <w:p w:rsidR="00DD5C60" w:rsidRDefault="00DD5C60" w:rsidP="00147768">
      <w:pPr>
        <w:pStyle w:val="Legenda"/>
        <w:jc w:val="both"/>
      </w:pPr>
      <w:bookmarkStart w:id="88" w:name="_Toc495887807"/>
      <w:r>
        <w:t xml:space="preserve">Tabela </w:t>
      </w:r>
      <w:r w:rsidR="00172343">
        <w:fldChar w:fldCharType="begin"/>
      </w:r>
      <w:r w:rsidR="00172343">
        <w:instrText xml:space="preserve"> SEQ Tabela \* ARABIC </w:instrText>
      </w:r>
      <w:r w:rsidR="00172343">
        <w:fldChar w:fldCharType="separate"/>
      </w:r>
      <w:r w:rsidR="00D67FEC">
        <w:rPr>
          <w:noProof/>
        </w:rPr>
        <w:t>18</w:t>
      </w:r>
      <w:r w:rsidR="00172343">
        <w:rPr>
          <w:noProof/>
        </w:rPr>
        <w:fldChar w:fldCharType="end"/>
      </w:r>
      <w:r>
        <w:t xml:space="preserve"> Wskaźnik referencyjny oraz wskaźnik „</w:t>
      </w:r>
      <w:r w:rsidR="00147768" w:rsidRPr="00147768">
        <w:t>Przyrost naturalny w przeliczeniu na 100 osób wg faktycznego miejsca zamieszkania</w:t>
      </w:r>
      <w:r>
        <w:t>” dla poszczególnych miejscowości</w:t>
      </w:r>
      <w:bookmarkEnd w:id="88"/>
    </w:p>
    <w:tbl>
      <w:tblPr>
        <w:tblW w:w="10129" w:type="dxa"/>
        <w:jc w:val="center"/>
        <w:tblLayout w:type="fixed"/>
        <w:tblCellMar>
          <w:left w:w="70" w:type="dxa"/>
          <w:right w:w="70" w:type="dxa"/>
        </w:tblCellMar>
        <w:tblLook w:val="04A0" w:firstRow="1" w:lastRow="0" w:firstColumn="1" w:lastColumn="0" w:noHBand="0" w:noVBand="1"/>
      </w:tblPr>
      <w:tblGrid>
        <w:gridCol w:w="316"/>
        <w:gridCol w:w="317"/>
        <w:gridCol w:w="316"/>
        <w:gridCol w:w="317"/>
        <w:gridCol w:w="316"/>
        <w:gridCol w:w="317"/>
        <w:gridCol w:w="316"/>
        <w:gridCol w:w="317"/>
        <w:gridCol w:w="316"/>
        <w:gridCol w:w="317"/>
        <w:gridCol w:w="316"/>
        <w:gridCol w:w="317"/>
        <w:gridCol w:w="316"/>
        <w:gridCol w:w="317"/>
        <w:gridCol w:w="316"/>
        <w:gridCol w:w="317"/>
        <w:gridCol w:w="317"/>
        <w:gridCol w:w="316"/>
        <w:gridCol w:w="317"/>
        <w:gridCol w:w="316"/>
        <w:gridCol w:w="317"/>
        <w:gridCol w:w="316"/>
        <w:gridCol w:w="317"/>
        <w:gridCol w:w="316"/>
        <w:gridCol w:w="317"/>
        <w:gridCol w:w="316"/>
        <w:gridCol w:w="317"/>
        <w:gridCol w:w="316"/>
        <w:gridCol w:w="317"/>
        <w:gridCol w:w="316"/>
        <w:gridCol w:w="317"/>
        <w:gridCol w:w="317"/>
      </w:tblGrid>
      <w:tr w:rsidR="00DD5C60" w:rsidRPr="00D164AF" w:rsidTr="00DD5C60">
        <w:trPr>
          <w:trHeight w:val="2891"/>
          <w:jc w:val="center"/>
        </w:trPr>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dane referencyjne 2014</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POWIAT PRZEWORSKI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(ogółem)</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(mężczyźni)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(kobiety)</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(ogółem)</w:t>
            </w:r>
          </w:p>
        </w:tc>
        <w:tc>
          <w:tcPr>
            <w:tcW w:w="316"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(mężczyźni)</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(kobiety)</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(ogółem)</w:t>
            </w:r>
          </w:p>
        </w:tc>
        <w:tc>
          <w:tcPr>
            <w:tcW w:w="317"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(mężczyźni)</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(kobiety)</w:t>
            </w:r>
          </w:p>
        </w:tc>
        <w:tc>
          <w:tcPr>
            <w:tcW w:w="316"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(ogółem)</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(mężczyźni)</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(kobiety)</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(ogółem)</w:t>
            </w:r>
          </w:p>
        </w:tc>
        <w:tc>
          <w:tcPr>
            <w:tcW w:w="317"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(mężczyźni)</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(kobiety)</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(ogółem)</w:t>
            </w:r>
          </w:p>
        </w:tc>
        <w:tc>
          <w:tcPr>
            <w:tcW w:w="317"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(mężczyźni)</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(kobiety)</w:t>
            </w:r>
          </w:p>
        </w:tc>
        <w:tc>
          <w:tcPr>
            <w:tcW w:w="316"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(ogółem)</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(mężczyźni)</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DD5C60" w:rsidRPr="00D164AF" w:rsidRDefault="00DD5C60" w:rsidP="00DD5C60">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(kobiety)</w:t>
            </w:r>
          </w:p>
        </w:tc>
      </w:tr>
      <w:tr w:rsidR="00147768" w:rsidRPr="00D164AF" w:rsidTr="00147768">
        <w:trPr>
          <w:trHeight w:val="1385"/>
          <w:jc w:val="center"/>
        </w:trPr>
        <w:tc>
          <w:tcPr>
            <w:tcW w:w="316" w:type="dxa"/>
            <w:tcBorders>
              <w:top w:val="nil"/>
              <w:left w:val="nil"/>
              <w:bottom w:val="single" w:sz="4" w:space="0" w:color="auto"/>
              <w:right w:val="single" w:sz="4" w:space="0" w:color="auto"/>
            </w:tcBorders>
            <w:shd w:val="clear" w:color="auto" w:fill="auto"/>
            <w:noWrap/>
            <w:textDirection w:val="btLr"/>
            <w:hideMark/>
          </w:tcPr>
          <w:p w:rsidR="00147768" w:rsidRPr="00147768" w:rsidRDefault="00147768" w:rsidP="00147768">
            <w:pPr>
              <w:jc w:val="center"/>
              <w:rPr>
                <w:rFonts w:ascii="Calibri" w:hAnsi="Calibri" w:cs="Calibri"/>
                <w:color w:val="FF0000"/>
                <w:sz w:val="18"/>
                <w:szCs w:val="18"/>
              </w:rPr>
            </w:pPr>
            <w:r w:rsidRPr="00147768">
              <w:rPr>
                <w:rFonts w:ascii="Calibri" w:hAnsi="Calibri" w:cs="Calibri"/>
                <w:color w:val="FF0000"/>
                <w:sz w:val="18"/>
                <w:szCs w:val="18"/>
              </w:rPr>
              <w:t>0,07</w:t>
            </w:r>
          </w:p>
        </w:tc>
        <w:tc>
          <w:tcPr>
            <w:tcW w:w="317" w:type="dxa"/>
            <w:tcBorders>
              <w:top w:val="nil"/>
              <w:left w:val="nil"/>
              <w:bottom w:val="single" w:sz="4" w:space="0" w:color="auto"/>
              <w:right w:val="single" w:sz="4" w:space="0" w:color="auto"/>
            </w:tcBorders>
            <w:shd w:val="clear" w:color="auto" w:fill="auto"/>
            <w:noWrap/>
            <w:textDirection w:val="btLr"/>
            <w:hideMark/>
          </w:tcPr>
          <w:p w:rsidR="00147768" w:rsidRPr="00147768" w:rsidRDefault="00147768" w:rsidP="00147768">
            <w:pPr>
              <w:jc w:val="center"/>
              <w:rPr>
                <w:rFonts w:ascii="Calibri" w:hAnsi="Calibri" w:cs="Calibri"/>
                <w:color w:val="FF0000"/>
                <w:sz w:val="18"/>
                <w:szCs w:val="18"/>
              </w:rPr>
            </w:pPr>
            <w:r w:rsidRPr="00147768">
              <w:rPr>
                <w:rFonts w:ascii="Calibri" w:hAnsi="Calibri" w:cs="Calibri"/>
                <w:color w:val="FF0000"/>
                <w:sz w:val="18"/>
                <w:szCs w:val="18"/>
              </w:rPr>
              <w:t>-0,1</w:t>
            </w:r>
          </w:p>
        </w:tc>
        <w:tc>
          <w:tcPr>
            <w:tcW w:w="316" w:type="dxa"/>
            <w:tcBorders>
              <w:top w:val="nil"/>
              <w:left w:val="nil"/>
              <w:bottom w:val="single" w:sz="4" w:space="0" w:color="auto"/>
              <w:right w:val="single" w:sz="4" w:space="0" w:color="auto"/>
            </w:tcBorders>
            <w:shd w:val="clear" w:color="auto" w:fill="auto"/>
            <w:noWrap/>
            <w:textDirection w:val="btLr"/>
            <w:hideMark/>
          </w:tcPr>
          <w:p w:rsidR="00147768" w:rsidRPr="00147768" w:rsidRDefault="00147768" w:rsidP="00147768">
            <w:pPr>
              <w:jc w:val="center"/>
              <w:rPr>
                <w:rFonts w:ascii="Calibri" w:hAnsi="Calibri" w:cs="Calibri"/>
                <w:color w:val="000000"/>
                <w:sz w:val="18"/>
                <w:szCs w:val="18"/>
              </w:rPr>
            </w:pPr>
            <w:r w:rsidRPr="00147768">
              <w:rPr>
                <w:rFonts w:ascii="Calibri" w:hAnsi="Calibri" w:cs="Calibri"/>
                <w:color w:val="000000"/>
                <w:sz w:val="18"/>
                <w:szCs w:val="18"/>
              </w:rPr>
              <w:t>0,125</w:t>
            </w:r>
          </w:p>
        </w:tc>
        <w:tc>
          <w:tcPr>
            <w:tcW w:w="317" w:type="dxa"/>
            <w:tcBorders>
              <w:top w:val="nil"/>
              <w:left w:val="nil"/>
              <w:bottom w:val="single" w:sz="4" w:space="0" w:color="auto"/>
              <w:right w:val="single" w:sz="4" w:space="0" w:color="auto"/>
            </w:tcBorders>
            <w:shd w:val="clear" w:color="auto" w:fill="auto"/>
            <w:noWrap/>
            <w:textDirection w:val="btLr"/>
            <w:hideMark/>
          </w:tcPr>
          <w:p w:rsidR="00147768" w:rsidRPr="00147768" w:rsidRDefault="00147768" w:rsidP="00147768">
            <w:pPr>
              <w:jc w:val="center"/>
              <w:rPr>
                <w:rFonts w:ascii="Calibri" w:hAnsi="Calibri" w:cs="Calibri"/>
                <w:color w:val="000000"/>
                <w:sz w:val="18"/>
                <w:szCs w:val="18"/>
              </w:rPr>
            </w:pPr>
            <w:r w:rsidRPr="00147768">
              <w:rPr>
                <w:rFonts w:ascii="Calibri" w:hAnsi="Calibri" w:cs="Calibri"/>
                <w:color w:val="000000"/>
                <w:sz w:val="18"/>
                <w:szCs w:val="18"/>
              </w:rPr>
              <w:t>-0,22</w:t>
            </w:r>
          </w:p>
        </w:tc>
        <w:tc>
          <w:tcPr>
            <w:tcW w:w="316" w:type="dxa"/>
            <w:tcBorders>
              <w:top w:val="nil"/>
              <w:left w:val="nil"/>
              <w:bottom w:val="single" w:sz="4" w:space="0" w:color="auto"/>
              <w:right w:val="single" w:sz="4" w:space="0" w:color="auto"/>
            </w:tcBorders>
            <w:shd w:val="clear" w:color="auto" w:fill="auto"/>
            <w:noWrap/>
            <w:textDirection w:val="btLr"/>
            <w:hideMark/>
          </w:tcPr>
          <w:p w:rsidR="00147768" w:rsidRPr="00147768" w:rsidRDefault="00147768" w:rsidP="00147768">
            <w:pPr>
              <w:jc w:val="center"/>
              <w:rPr>
                <w:rFonts w:ascii="Calibri" w:hAnsi="Calibri" w:cs="Calibri"/>
                <w:color w:val="000000"/>
                <w:sz w:val="18"/>
                <w:szCs w:val="18"/>
              </w:rPr>
            </w:pPr>
            <w:r w:rsidRPr="00147768">
              <w:rPr>
                <w:rFonts w:ascii="Calibri" w:hAnsi="Calibri" w:cs="Calibri"/>
                <w:color w:val="000000"/>
                <w:sz w:val="18"/>
                <w:szCs w:val="18"/>
              </w:rPr>
              <w:t>0,47</w:t>
            </w:r>
          </w:p>
        </w:tc>
        <w:tc>
          <w:tcPr>
            <w:tcW w:w="317" w:type="dxa"/>
            <w:tcBorders>
              <w:top w:val="nil"/>
              <w:left w:val="nil"/>
              <w:bottom w:val="single" w:sz="4" w:space="0" w:color="auto"/>
              <w:right w:val="single" w:sz="4" w:space="0" w:color="auto"/>
            </w:tcBorders>
            <w:shd w:val="clear" w:color="000000" w:fill="FDE9D9"/>
            <w:noWrap/>
            <w:textDirection w:val="btLr"/>
            <w:hideMark/>
          </w:tcPr>
          <w:p w:rsidR="00147768" w:rsidRPr="00147768" w:rsidRDefault="00147768" w:rsidP="00147768">
            <w:pPr>
              <w:jc w:val="center"/>
              <w:rPr>
                <w:rFonts w:ascii="Calibri" w:hAnsi="Calibri" w:cs="Calibri"/>
                <w:color w:val="FF0000"/>
                <w:sz w:val="18"/>
                <w:szCs w:val="18"/>
              </w:rPr>
            </w:pPr>
            <w:r w:rsidRPr="00147768">
              <w:rPr>
                <w:rFonts w:ascii="Calibri" w:hAnsi="Calibri" w:cs="Calibri"/>
                <w:color w:val="FF0000"/>
                <w:sz w:val="18"/>
                <w:szCs w:val="18"/>
              </w:rPr>
              <w:t>-1,65</w:t>
            </w:r>
          </w:p>
        </w:tc>
        <w:tc>
          <w:tcPr>
            <w:tcW w:w="316" w:type="dxa"/>
            <w:tcBorders>
              <w:top w:val="nil"/>
              <w:left w:val="nil"/>
              <w:bottom w:val="single" w:sz="4" w:space="0" w:color="auto"/>
              <w:right w:val="single" w:sz="4" w:space="0" w:color="auto"/>
            </w:tcBorders>
            <w:shd w:val="clear" w:color="000000" w:fill="FDE9D9"/>
            <w:noWrap/>
            <w:textDirection w:val="btLr"/>
            <w:hideMark/>
          </w:tcPr>
          <w:p w:rsidR="00147768" w:rsidRPr="00147768" w:rsidRDefault="00147768" w:rsidP="00147768">
            <w:pPr>
              <w:jc w:val="center"/>
              <w:rPr>
                <w:rFonts w:ascii="Calibri" w:hAnsi="Calibri" w:cs="Calibri"/>
                <w:color w:val="FF0000"/>
                <w:sz w:val="18"/>
                <w:szCs w:val="18"/>
              </w:rPr>
            </w:pPr>
            <w:r w:rsidRPr="00147768">
              <w:rPr>
                <w:rFonts w:ascii="Calibri" w:hAnsi="Calibri" w:cs="Calibri"/>
                <w:color w:val="FF0000"/>
                <w:sz w:val="18"/>
                <w:szCs w:val="18"/>
              </w:rPr>
              <w:t>-1,92</w:t>
            </w:r>
          </w:p>
        </w:tc>
        <w:tc>
          <w:tcPr>
            <w:tcW w:w="317" w:type="dxa"/>
            <w:tcBorders>
              <w:top w:val="nil"/>
              <w:left w:val="nil"/>
              <w:bottom w:val="single" w:sz="4" w:space="0" w:color="auto"/>
              <w:right w:val="single" w:sz="4" w:space="0" w:color="auto"/>
            </w:tcBorders>
            <w:shd w:val="clear" w:color="000000" w:fill="FDE9D9"/>
            <w:noWrap/>
            <w:textDirection w:val="btLr"/>
            <w:hideMark/>
          </w:tcPr>
          <w:p w:rsidR="00147768" w:rsidRPr="00147768" w:rsidRDefault="00147768" w:rsidP="00147768">
            <w:pPr>
              <w:jc w:val="center"/>
              <w:rPr>
                <w:rFonts w:ascii="Calibri" w:hAnsi="Calibri" w:cs="Calibri"/>
                <w:color w:val="FF0000"/>
                <w:sz w:val="18"/>
                <w:szCs w:val="18"/>
              </w:rPr>
            </w:pPr>
            <w:r w:rsidRPr="00147768">
              <w:rPr>
                <w:rFonts w:ascii="Calibri" w:hAnsi="Calibri" w:cs="Calibri"/>
                <w:color w:val="FF0000"/>
                <w:sz w:val="18"/>
                <w:szCs w:val="18"/>
              </w:rPr>
              <w:t>-1,38</w:t>
            </w:r>
          </w:p>
        </w:tc>
        <w:tc>
          <w:tcPr>
            <w:tcW w:w="316" w:type="dxa"/>
            <w:tcBorders>
              <w:top w:val="nil"/>
              <w:left w:val="nil"/>
              <w:bottom w:val="single" w:sz="4" w:space="0" w:color="auto"/>
              <w:right w:val="single" w:sz="4" w:space="0" w:color="auto"/>
            </w:tcBorders>
            <w:shd w:val="clear" w:color="000000" w:fill="DAEEF3"/>
            <w:noWrap/>
            <w:textDirection w:val="btLr"/>
            <w:hideMark/>
          </w:tcPr>
          <w:p w:rsidR="00147768" w:rsidRPr="00147768" w:rsidRDefault="00147768" w:rsidP="00147768">
            <w:pPr>
              <w:jc w:val="center"/>
              <w:rPr>
                <w:rFonts w:ascii="Calibri" w:hAnsi="Calibri" w:cs="Calibri"/>
                <w:color w:val="FF0000"/>
                <w:sz w:val="18"/>
                <w:szCs w:val="18"/>
              </w:rPr>
            </w:pPr>
            <w:r w:rsidRPr="00147768">
              <w:rPr>
                <w:rFonts w:ascii="Calibri" w:hAnsi="Calibri" w:cs="Calibri"/>
                <w:color w:val="FF0000"/>
                <w:sz w:val="18"/>
                <w:szCs w:val="18"/>
              </w:rPr>
              <w:t>-0,19</w:t>
            </w:r>
          </w:p>
        </w:tc>
        <w:tc>
          <w:tcPr>
            <w:tcW w:w="317" w:type="dxa"/>
            <w:tcBorders>
              <w:top w:val="nil"/>
              <w:left w:val="nil"/>
              <w:bottom w:val="single" w:sz="4" w:space="0" w:color="auto"/>
              <w:right w:val="single" w:sz="4" w:space="0" w:color="auto"/>
            </w:tcBorders>
            <w:shd w:val="clear" w:color="000000" w:fill="DAEEF3"/>
            <w:noWrap/>
            <w:textDirection w:val="btLr"/>
            <w:hideMark/>
          </w:tcPr>
          <w:p w:rsidR="00147768" w:rsidRPr="00147768" w:rsidRDefault="00147768" w:rsidP="00147768">
            <w:pPr>
              <w:jc w:val="center"/>
              <w:rPr>
                <w:rFonts w:ascii="Calibri" w:hAnsi="Calibri" w:cs="Calibri"/>
                <w:color w:val="FF0000"/>
                <w:sz w:val="18"/>
                <w:szCs w:val="18"/>
              </w:rPr>
            </w:pPr>
            <w:r w:rsidRPr="00147768">
              <w:rPr>
                <w:rFonts w:ascii="Calibri" w:hAnsi="Calibri" w:cs="Calibri"/>
                <w:color w:val="FF0000"/>
                <w:sz w:val="18"/>
                <w:szCs w:val="18"/>
              </w:rPr>
              <w:t>-0,19</w:t>
            </w:r>
          </w:p>
        </w:tc>
        <w:tc>
          <w:tcPr>
            <w:tcW w:w="316" w:type="dxa"/>
            <w:tcBorders>
              <w:top w:val="nil"/>
              <w:left w:val="nil"/>
              <w:bottom w:val="single" w:sz="4" w:space="0" w:color="auto"/>
              <w:right w:val="single" w:sz="4" w:space="0" w:color="auto"/>
            </w:tcBorders>
            <w:shd w:val="clear" w:color="000000" w:fill="DAEEF3"/>
            <w:noWrap/>
            <w:textDirection w:val="btLr"/>
            <w:hideMark/>
          </w:tcPr>
          <w:p w:rsidR="00147768" w:rsidRPr="00147768" w:rsidRDefault="00147768" w:rsidP="00147768">
            <w:pPr>
              <w:jc w:val="center"/>
              <w:rPr>
                <w:rFonts w:ascii="Calibri" w:hAnsi="Calibri" w:cs="Calibri"/>
                <w:color w:val="FF0000"/>
                <w:sz w:val="18"/>
                <w:szCs w:val="18"/>
              </w:rPr>
            </w:pPr>
            <w:r w:rsidRPr="00147768">
              <w:rPr>
                <w:rFonts w:ascii="Calibri" w:hAnsi="Calibri" w:cs="Calibri"/>
                <w:color w:val="FF0000"/>
                <w:sz w:val="18"/>
                <w:szCs w:val="18"/>
              </w:rPr>
              <w:t>-0,19</w:t>
            </w:r>
          </w:p>
        </w:tc>
        <w:tc>
          <w:tcPr>
            <w:tcW w:w="317" w:type="dxa"/>
            <w:tcBorders>
              <w:top w:val="nil"/>
              <w:left w:val="nil"/>
              <w:bottom w:val="single" w:sz="4" w:space="0" w:color="auto"/>
              <w:right w:val="single" w:sz="4" w:space="0" w:color="auto"/>
            </w:tcBorders>
            <w:shd w:val="clear" w:color="auto" w:fill="auto"/>
            <w:noWrap/>
            <w:textDirection w:val="btLr"/>
            <w:hideMark/>
          </w:tcPr>
          <w:p w:rsidR="00147768" w:rsidRPr="00147768" w:rsidRDefault="00147768" w:rsidP="00147768">
            <w:pPr>
              <w:jc w:val="center"/>
              <w:rPr>
                <w:rFonts w:ascii="Calibri" w:hAnsi="Calibri" w:cs="Calibri"/>
                <w:color w:val="000000"/>
                <w:sz w:val="18"/>
                <w:szCs w:val="18"/>
              </w:rPr>
            </w:pPr>
            <w:r w:rsidRPr="00147768">
              <w:rPr>
                <w:rFonts w:ascii="Calibri" w:hAnsi="Calibri" w:cs="Calibri"/>
                <w:color w:val="000000"/>
                <w:sz w:val="18"/>
                <w:szCs w:val="18"/>
              </w:rPr>
              <w:t>0,13</w:t>
            </w:r>
          </w:p>
        </w:tc>
        <w:tc>
          <w:tcPr>
            <w:tcW w:w="316" w:type="dxa"/>
            <w:tcBorders>
              <w:top w:val="nil"/>
              <w:left w:val="nil"/>
              <w:bottom w:val="single" w:sz="4" w:space="0" w:color="auto"/>
              <w:right w:val="single" w:sz="4" w:space="0" w:color="auto"/>
            </w:tcBorders>
            <w:shd w:val="clear" w:color="auto" w:fill="auto"/>
            <w:noWrap/>
            <w:textDirection w:val="btLr"/>
            <w:hideMark/>
          </w:tcPr>
          <w:p w:rsidR="00147768" w:rsidRPr="00147768" w:rsidRDefault="00147768" w:rsidP="00147768">
            <w:pPr>
              <w:jc w:val="center"/>
              <w:rPr>
                <w:rFonts w:ascii="Calibri" w:hAnsi="Calibri" w:cs="Calibri"/>
                <w:color w:val="000000"/>
                <w:sz w:val="18"/>
                <w:szCs w:val="18"/>
              </w:rPr>
            </w:pPr>
            <w:r w:rsidRPr="00147768">
              <w:rPr>
                <w:rFonts w:ascii="Calibri" w:hAnsi="Calibri" w:cs="Calibri"/>
                <w:color w:val="000000"/>
                <w:sz w:val="18"/>
                <w:szCs w:val="18"/>
              </w:rPr>
              <w:t>-0,69</w:t>
            </w:r>
          </w:p>
        </w:tc>
        <w:tc>
          <w:tcPr>
            <w:tcW w:w="317" w:type="dxa"/>
            <w:tcBorders>
              <w:top w:val="nil"/>
              <w:left w:val="nil"/>
              <w:bottom w:val="single" w:sz="4" w:space="0" w:color="auto"/>
              <w:right w:val="single" w:sz="4" w:space="0" w:color="auto"/>
            </w:tcBorders>
            <w:shd w:val="clear" w:color="auto" w:fill="auto"/>
            <w:noWrap/>
            <w:textDirection w:val="btLr"/>
            <w:hideMark/>
          </w:tcPr>
          <w:p w:rsidR="00147768" w:rsidRPr="00147768" w:rsidRDefault="00147768" w:rsidP="00147768">
            <w:pPr>
              <w:jc w:val="center"/>
              <w:rPr>
                <w:rFonts w:ascii="Calibri" w:hAnsi="Calibri" w:cs="Calibri"/>
                <w:color w:val="000000"/>
                <w:sz w:val="18"/>
                <w:szCs w:val="18"/>
              </w:rPr>
            </w:pPr>
            <w:r w:rsidRPr="00147768">
              <w:rPr>
                <w:rFonts w:ascii="Calibri" w:hAnsi="Calibri" w:cs="Calibri"/>
                <w:color w:val="000000"/>
                <w:sz w:val="18"/>
                <w:szCs w:val="18"/>
              </w:rPr>
              <w:t>0,95</w:t>
            </w:r>
          </w:p>
        </w:tc>
        <w:tc>
          <w:tcPr>
            <w:tcW w:w="316" w:type="dxa"/>
            <w:tcBorders>
              <w:top w:val="nil"/>
              <w:left w:val="nil"/>
              <w:bottom w:val="single" w:sz="4" w:space="0" w:color="auto"/>
              <w:right w:val="single" w:sz="4" w:space="0" w:color="auto"/>
            </w:tcBorders>
            <w:shd w:val="clear" w:color="000000" w:fill="E4DFEC"/>
            <w:noWrap/>
            <w:textDirection w:val="btLr"/>
            <w:hideMark/>
          </w:tcPr>
          <w:p w:rsidR="00147768" w:rsidRPr="00147768" w:rsidRDefault="00147768" w:rsidP="00147768">
            <w:pPr>
              <w:jc w:val="center"/>
              <w:rPr>
                <w:rFonts w:ascii="Calibri" w:hAnsi="Calibri" w:cs="Calibri"/>
                <w:color w:val="000000"/>
                <w:sz w:val="18"/>
                <w:szCs w:val="18"/>
              </w:rPr>
            </w:pPr>
            <w:r w:rsidRPr="00147768">
              <w:rPr>
                <w:rFonts w:ascii="Calibri" w:hAnsi="Calibri" w:cs="Calibri"/>
                <w:color w:val="000000"/>
                <w:sz w:val="18"/>
                <w:szCs w:val="18"/>
              </w:rPr>
              <w:t>0,355</w:t>
            </w:r>
          </w:p>
        </w:tc>
        <w:tc>
          <w:tcPr>
            <w:tcW w:w="317" w:type="dxa"/>
            <w:tcBorders>
              <w:top w:val="nil"/>
              <w:left w:val="nil"/>
              <w:bottom w:val="single" w:sz="4" w:space="0" w:color="auto"/>
              <w:right w:val="single" w:sz="4" w:space="0" w:color="auto"/>
            </w:tcBorders>
            <w:shd w:val="clear" w:color="000000" w:fill="E4DFEC"/>
            <w:noWrap/>
            <w:textDirection w:val="btLr"/>
            <w:hideMark/>
          </w:tcPr>
          <w:p w:rsidR="00147768" w:rsidRPr="00147768" w:rsidRDefault="00147768" w:rsidP="00147768">
            <w:pPr>
              <w:jc w:val="center"/>
              <w:rPr>
                <w:rFonts w:ascii="Calibri" w:hAnsi="Calibri" w:cs="Calibri"/>
                <w:color w:val="000000"/>
                <w:sz w:val="18"/>
                <w:szCs w:val="18"/>
              </w:rPr>
            </w:pPr>
            <w:r w:rsidRPr="00147768">
              <w:rPr>
                <w:rFonts w:ascii="Calibri" w:hAnsi="Calibri" w:cs="Calibri"/>
                <w:color w:val="000000"/>
                <w:sz w:val="18"/>
                <w:szCs w:val="18"/>
              </w:rPr>
              <w:t>0,15</w:t>
            </w:r>
          </w:p>
        </w:tc>
        <w:tc>
          <w:tcPr>
            <w:tcW w:w="317" w:type="dxa"/>
            <w:tcBorders>
              <w:top w:val="nil"/>
              <w:left w:val="nil"/>
              <w:bottom w:val="single" w:sz="4" w:space="0" w:color="auto"/>
              <w:right w:val="single" w:sz="4" w:space="0" w:color="auto"/>
            </w:tcBorders>
            <w:shd w:val="clear" w:color="000000" w:fill="E4DFEC"/>
            <w:noWrap/>
            <w:textDirection w:val="btLr"/>
            <w:hideMark/>
          </w:tcPr>
          <w:p w:rsidR="00147768" w:rsidRPr="00147768" w:rsidRDefault="00147768" w:rsidP="00147768">
            <w:pPr>
              <w:jc w:val="center"/>
              <w:rPr>
                <w:rFonts w:ascii="Calibri" w:hAnsi="Calibri" w:cs="Calibri"/>
                <w:color w:val="000000"/>
                <w:sz w:val="18"/>
                <w:szCs w:val="18"/>
              </w:rPr>
            </w:pPr>
            <w:r w:rsidRPr="00147768">
              <w:rPr>
                <w:rFonts w:ascii="Calibri" w:hAnsi="Calibri" w:cs="Calibri"/>
                <w:color w:val="000000"/>
                <w:sz w:val="18"/>
                <w:szCs w:val="18"/>
              </w:rPr>
              <w:t>0,56</w:t>
            </w:r>
          </w:p>
        </w:tc>
        <w:tc>
          <w:tcPr>
            <w:tcW w:w="316" w:type="dxa"/>
            <w:tcBorders>
              <w:top w:val="nil"/>
              <w:left w:val="nil"/>
              <w:bottom w:val="single" w:sz="4" w:space="0" w:color="auto"/>
              <w:right w:val="single" w:sz="4" w:space="0" w:color="auto"/>
            </w:tcBorders>
            <w:shd w:val="clear" w:color="000000" w:fill="EBF1DE"/>
            <w:noWrap/>
            <w:textDirection w:val="btLr"/>
            <w:hideMark/>
          </w:tcPr>
          <w:p w:rsidR="00147768" w:rsidRPr="00147768" w:rsidRDefault="00147768" w:rsidP="00147768">
            <w:pPr>
              <w:jc w:val="center"/>
              <w:rPr>
                <w:rFonts w:ascii="Calibri" w:hAnsi="Calibri" w:cs="Calibri"/>
                <w:color w:val="000000"/>
                <w:sz w:val="18"/>
                <w:szCs w:val="18"/>
              </w:rPr>
            </w:pPr>
            <w:r w:rsidRPr="00147768">
              <w:rPr>
                <w:rFonts w:ascii="Calibri" w:hAnsi="Calibri" w:cs="Calibri"/>
                <w:color w:val="000000"/>
                <w:sz w:val="18"/>
                <w:szCs w:val="18"/>
              </w:rPr>
              <w:t>0,185</w:t>
            </w:r>
          </w:p>
        </w:tc>
        <w:tc>
          <w:tcPr>
            <w:tcW w:w="317" w:type="dxa"/>
            <w:tcBorders>
              <w:top w:val="nil"/>
              <w:left w:val="nil"/>
              <w:bottom w:val="single" w:sz="4" w:space="0" w:color="auto"/>
              <w:right w:val="single" w:sz="4" w:space="0" w:color="auto"/>
            </w:tcBorders>
            <w:shd w:val="clear" w:color="000000" w:fill="EBF1DE"/>
            <w:noWrap/>
            <w:textDirection w:val="btLr"/>
            <w:hideMark/>
          </w:tcPr>
          <w:p w:rsidR="00147768" w:rsidRPr="00147768" w:rsidRDefault="00147768" w:rsidP="00147768">
            <w:pPr>
              <w:jc w:val="center"/>
              <w:rPr>
                <w:rFonts w:ascii="Calibri" w:hAnsi="Calibri" w:cs="Calibri"/>
                <w:color w:val="000000"/>
                <w:sz w:val="18"/>
                <w:szCs w:val="18"/>
              </w:rPr>
            </w:pPr>
            <w:r w:rsidRPr="00147768">
              <w:rPr>
                <w:rFonts w:ascii="Calibri" w:hAnsi="Calibri" w:cs="Calibri"/>
                <w:color w:val="000000"/>
                <w:sz w:val="18"/>
                <w:szCs w:val="18"/>
              </w:rPr>
              <w:t>-0,17</w:t>
            </w:r>
          </w:p>
        </w:tc>
        <w:tc>
          <w:tcPr>
            <w:tcW w:w="316" w:type="dxa"/>
            <w:tcBorders>
              <w:top w:val="nil"/>
              <w:left w:val="nil"/>
              <w:bottom w:val="single" w:sz="4" w:space="0" w:color="auto"/>
              <w:right w:val="single" w:sz="4" w:space="0" w:color="auto"/>
            </w:tcBorders>
            <w:shd w:val="clear" w:color="000000" w:fill="EBF1DE"/>
            <w:noWrap/>
            <w:textDirection w:val="btLr"/>
            <w:hideMark/>
          </w:tcPr>
          <w:p w:rsidR="00147768" w:rsidRPr="00147768" w:rsidRDefault="00147768" w:rsidP="00147768">
            <w:pPr>
              <w:jc w:val="center"/>
              <w:rPr>
                <w:rFonts w:ascii="Calibri" w:hAnsi="Calibri" w:cs="Calibri"/>
                <w:color w:val="000000"/>
                <w:sz w:val="18"/>
                <w:szCs w:val="18"/>
              </w:rPr>
            </w:pPr>
            <w:r w:rsidRPr="00147768">
              <w:rPr>
                <w:rFonts w:ascii="Calibri" w:hAnsi="Calibri" w:cs="Calibri"/>
                <w:color w:val="000000"/>
                <w:sz w:val="18"/>
                <w:szCs w:val="18"/>
              </w:rPr>
              <w:t>0,54</w:t>
            </w:r>
          </w:p>
        </w:tc>
        <w:tc>
          <w:tcPr>
            <w:tcW w:w="317" w:type="dxa"/>
            <w:tcBorders>
              <w:top w:val="nil"/>
              <w:left w:val="nil"/>
              <w:bottom w:val="single" w:sz="4" w:space="0" w:color="auto"/>
              <w:right w:val="single" w:sz="4" w:space="0" w:color="auto"/>
            </w:tcBorders>
            <w:shd w:val="clear" w:color="auto" w:fill="auto"/>
            <w:noWrap/>
            <w:textDirection w:val="btLr"/>
            <w:hideMark/>
          </w:tcPr>
          <w:p w:rsidR="00147768" w:rsidRPr="00147768" w:rsidRDefault="00147768" w:rsidP="00147768">
            <w:pPr>
              <w:jc w:val="center"/>
              <w:rPr>
                <w:rFonts w:ascii="Calibri" w:hAnsi="Calibri" w:cs="Calibri"/>
                <w:color w:val="00B050"/>
                <w:sz w:val="18"/>
                <w:szCs w:val="18"/>
              </w:rPr>
            </w:pPr>
            <w:r w:rsidRPr="00147768">
              <w:rPr>
                <w:rFonts w:ascii="Calibri" w:hAnsi="Calibri" w:cs="Calibri"/>
                <w:color w:val="00B050"/>
                <w:sz w:val="18"/>
                <w:szCs w:val="18"/>
              </w:rPr>
              <w:t>0,075</w:t>
            </w:r>
          </w:p>
        </w:tc>
        <w:tc>
          <w:tcPr>
            <w:tcW w:w="316" w:type="dxa"/>
            <w:tcBorders>
              <w:top w:val="nil"/>
              <w:left w:val="nil"/>
              <w:bottom w:val="single" w:sz="4" w:space="0" w:color="auto"/>
              <w:right w:val="single" w:sz="4" w:space="0" w:color="auto"/>
            </w:tcBorders>
            <w:shd w:val="clear" w:color="auto" w:fill="auto"/>
            <w:noWrap/>
            <w:textDirection w:val="btLr"/>
            <w:hideMark/>
          </w:tcPr>
          <w:p w:rsidR="00147768" w:rsidRPr="00147768" w:rsidRDefault="00147768" w:rsidP="00147768">
            <w:pPr>
              <w:jc w:val="center"/>
              <w:rPr>
                <w:rFonts w:ascii="Calibri" w:hAnsi="Calibri" w:cs="Calibri"/>
                <w:color w:val="00B050"/>
                <w:sz w:val="18"/>
                <w:szCs w:val="18"/>
              </w:rPr>
            </w:pPr>
            <w:r w:rsidRPr="00147768">
              <w:rPr>
                <w:rFonts w:ascii="Calibri" w:hAnsi="Calibri" w:cs="Calibri"/>
                <w:color w:val="00B050"/>
                <w:sz w:val="18"/>
                <w:szCs w:val="18"/>
              </w:rPr>
              <w:t>-0,15</w:t>
            </w:r>
          </w:p>
        </w:tc>
        <w:tc>
          <w:tcPr>
            <w:tcW w:w="317" w:type="dxa"/>
            <w:tcBorders>
              <w:top w:val="nil"/>
              <w:left w:val="nil"/>
              <w:bottom w:val="single" w:sz="4" w:space="0" w:color="auto"/>
              <w:right w:val="single" w:sz="4" w:space="0" w:color="auto"/>
            </w:tcBorders>
            <w:shd w:val="clear" w:color="auto" w:fill="auto"/>
            <w:noWrap/>
            <w:textDirection w:val="btLr"/>
            <w:hideMark/>
          </w:tcPr>
          <w:p w:rsidR="00147768" w:rsidRPr="00147768" w:rsidRDefault="00147768" w:rsidP="00147768">
            <w:pPr>
              <w:jc w:val="center"/>
              <w:rPr>
                <w:rFonts w:ascii="Calibri" w:hAnsi="Calibri" w:cs="Calibri"/>
                <w:color w:val="00B050"/>
                <w:sz w:val="18"/>
                <w:szCs w:val="18"/>
              </w:rPr>
            </w:pPr>
            <w:r w:rsidRPr="00147768">
              <w:rPr>
                <w:rFonts w:ascii="Calibri" w:hAnsi="Calibri" w:cs="Calibri"/>
                <w:color w:val="00B050"/>
                <w:sz w:val="18"/>
                <w:szCs w:val="18"/>
              </w:rPr>
              <w:t>0,3</w:t>
            </w:r>
          </w:p>
        </w:tc>
        <w:tc>
          <w:tcPr>
            <w:tcW w:w="316" w:type="dxa"/>
            <w:tcBorders>
              <w:top w:val="nil"/>
              <w:left w:val="nil"/>
              <w:bottom w:val="single" w:sz="4" w:space="0" w:color="auto"/>
              <w:right w:val="single" w:sz="4" w:space="0" w:color="auto"/>
            </w:tcBorders>
            <w:shd w:val="clear" w:color="000000" w:fill="C5D9F1"/>
            <w:noWrap/>
            <w:textDirection w:val="btLr"/>
            <w:hideMark/>
          </w:tcPr>
          <w:p w:rsidR="00147768" w:rsidRPr="00147768" w:rsidRDefault="00147768" w:rsidP="00147768">
            <w:pPr>
              <w:jc w:val="center"/>
              <w:rPr>
                <w:rFonts w:ascii="Calibri" w:hAnsi="Calibri" w:cs="Calibri"/>
                <w:color w:val="000000"/>
                <w:sz w:val="18"/>
                <w:szCs w:val="18"/>
              </w:rPr>
            </w:pPr>
            <w:r w:rsidRPr="00147768">
              <w:rPr>
                <w:rFonts w:ascii="Calibri" w:hAnsi="Calibri" w:cs="Calibri"/>
                <w:color w:val="000000"/>
                <w:sz w:val="18"/>
                <w:szCs w:val="18"/>
              </w:rPr>
              <w:t>0,24</w:t>
            </w:r>
          </w:p>
        </w:tc>
        <w:tc>
          <w:tcPr>
            <w:tcW w:w="317" w:type="dxa"/>
            <w:tcBorders>
              <w:top w:val="nil"/>
              <w:left w:val="nil"/>
              <w:bottom w:val="single" w:sz="4" w:space="0" w:color="auto"/>
              <w:right w:val="single" w:sz="4" w:space="0" w:color="auto"/>
            </w:tcBorders>
            <w:shd w:val="clear" w:color="000000" w:fill="C5D9F1"/>
            <w:noWrap/>
            <w:textDirection w:val="btLr"/>
            <w:hideMark/>
          </w:tcPr>
          <w:p w:rsidR="00147768" w:rsidRPr="00147768" w:rsidRDefault="00147768" w:rsidP="00147768">
            <w:pPr>
              <w:jc w:val="center"/>
              <w:rPr>
                <w:rFonts w:ascii="Calibri" w:hAnsi="Calibri" w:cs="Calibri"/>
                <w:color w:val="000000"/>
                <w:sz w:val="18"/>
                <w:szCs w:val="18"/>
              </w:rPr>
            </w:pPr>
            <w:r w:rsidRPr="00147768">
              <w:rPr>
                <w:rFonts w:ascii="Calibri" w:hAnsi="Calibri" w:cs="Calibri"/>
                <w:color w:val="000000"/>
                <w:sz w:val="18"/>
                <w:szCs w:val="18"/>
              </w:rPr>
              <w:t>-0,28</w:t>
            </w:r>
          </w:p>
        </w:tc>
        <w:tc>
          <w:tcPr>
            <w:tcW w:w="316" w:type="dxa"/>
            <w:tcBorders>
              <w:top w:val="nil"/>
              <w:left w:val="nil"/>
              <w:bottom w:val="single" w:sz="4" w:space="0" w:color="auto"/>
              <w:right w:val="single" w:sz="4" w:space="0" w:color="auto"/>
            </w:tcBorders>
            <w:shd w:val="clear" w:color="000000" w:fill="C5D9F1"/>
            <w:noWrap/>
            <w:textDirection w:val="btLr"/>
            <w:hideMark/>
          </w:tcPr>
          <w:p w:rsidR="00147768" w:rsidRPr="00147768" w:rsidRDefault="00147768" w:rsidP="00147768">
            <w:pPr>
              <w:jc w:val="center"/>
              <w:rPr>
                <w:rFonts w:ascii="Calibri" w:hAnsi="Calibri" w:cs="Calibri"/>
                <w:color w:val="000000"/>
                <w:sz w:val="18"/>
                <w:szCs w:val="18"/>
              </w:rPr>
            </w:pPr>
            <w:r w:rsidRPr="00147768">
              <w:rPr>
                <w:rFonts w:ascii="Calibri" w:hAnsi="Calibri" w:cs="Calibri"/>
                <w:color w:val="000000"/>
                <w:sz w:val="18"/>
                <w:szCs w:val="18"/>
              </w:rPr>
              <w:t>0,76</w:t>
            </w:r>
          </w:p>
        </w:tc>
        <w:tc>
          <w:tcPr>
            <w:tcW w:w="317" w:type="dxa"/>
            <w:tcBorders>
              <w:top w:val="nil"/>
              <w:left w:val="nil"/>
              <w:bottom w:val="single" w:sz="4" w:space="0" w:color="auto"/>
              <w:right w:val="single" w:sz="4" w:space="0" w:color="auto"/>
            </w:tcBorders>
            <w:shd w:val="clear" w:color="auto" w:fill="auto"/>
            <w:noWrap/>
            <w:textDirection w:val="btLr"/>
            <w:hideMark/>
          </w:tcPr>
          <w:p w:rsidR="00147768" w:rsidRPr="00147768" w:rsidRDefault="00147768" w:rsidP="00147768">
            <w:pPr>
              <w:jc w:val="center"/>
              <w:rPr>
                <w:rFonts w:ascii="Calibri" w:hAnsi="Calibri" w:cs="Calibri"/>
                <w:color w:val="000000"/>
                <w:sz w:val="18"/>
                <w:szCs w:val="18"/>
              </w:rPr>
            </w:pPr>
            <w:r w:rsidRPr="00147768">
              <w:rPr>
                <w:rFonts w:ascii="Calibri" w:hAnsi="Calibri" w:cs="Calibri"/>
                <w:color w:val="000000"/>
                <w:sz w:val="18"/>
                <w:szCs w:val="18"/>
              </w:rPr>
              <w:t>0,98</w:t>
            </w:r>
          </w:p>
        </w:tc>
        <w:tc>
          <w:tcPr>
            <w:tcW w:w="316" w:type="dxa"/>
            <w:tcBorders>
              <w:top w:val="nil"/>
              <w:left w:val="nil"/>
              <w:bottom w:val="single" w:sz="4" w:space="0" w:color="auto"/>
              <w:right w:val="single" w:sz="4" w:space="0" w:color="auto"/>
            </w:tcBorders>
            <w:shd w:val="clear" w:color="auto" w:fill="auto"/>
            <w:noWrap/>
            <w:textDirection w:val="btLr"/>
            <w:hideMark/>
          </w:tcPr>
          <w:p w:rsidR="00147768" w:rsidRPr="00147768" w:rsidRDefault="00147768" w:rsidP="00147768">
            <w:pPr>
              <w:jc w:val="center"/>
              <w:rPr>
                <w:rFonts w:ascii="Calibri" w:hAnsi="Calibri" w:cs="Calibri"/>
                <w:color w:val="000000"/>
                <w:sz w:val="18"/>
                <w:szCs w:val="18"/>
              </w:rPr>
            </w:pPr>
            <w:r w:rsidRPr="00147768">
              <w:rPr>
                <w:rFonts w:ascii="Calibri" w:hAnsi="Calibri" w:cs="Calibri"/>
                <w:color w:val="000000"/>
                <w:sz w:val="18"/>
                <w:szCs w:val="18"/>
              </w:rPr>
              <w:t>0,63</w:t>
            </w:r>
          </w:p>
        </w:tc>
        <w:tc>
          <w:tcPr>
            <w:tcW w:w="317" w:type="dxa"/>
            <w:tcBorders>
              <w:top w:val="nil"/>
              <w:left w:val="nil"/>
              <w:bottom w:val="single" w:sz="4" w:space="0" w:color="auto"/>
              <w:right w:val="single" w:sz="4" w:space="0" w:color="auto"/>
            </w:tcBorders>
            <w:shd w:val="clear" w:color="auto" w:fill="auto"/>
            <w:noWrap/>
            <w:textDirection w:val="btLr"/>
            <w:hideMark/>
          </w:tcPr>
          <w:p w:rsidR="00147768" w:rsidRPr="00147768" w:rsidRDefault="00147768" w:rsidP="00147768">
            <w:pPr>
              <w:jc w:val="center"/>
              <w:rPr>
                <w:rFonts w:ascii="Calibri" w:hAnsi="Calibri" w:cs="Calibri"/>
                <w:color w:val="000000"/>
                <w:sz w:val="18"/>
                <w:szCs w:val="18"/>
              </w:rPr>
            </w:pPr>
            <w:r w:rsidRPr="00147768">
              <w:rPr>
                <w:rFonts w:ascii="Calibri" w:hAnsi="Calibri" w:cs="Calibri"/>
                <w:color w:val="000000"/>
                <w:sz w:val="18"/>
                <w:szCs w:val="18"/>
              </w:rPr>
              <w:t>1,33</w:t>
            </w:r>
          </w:p>
        </w:tc>
        <w:tc>
          <w:tcPr>
            <w:tcW w:w="316" w:type="dxa"/>
            <w:tcBorders>
              <w:top w:val="nil"/>
              <w:left w:val="nil"/>
              <w:bottom w:val="single" w:sz="4" w:space="0" w:color="auto"/>
              <w:right w:val="single" w:sz="4" w:space="0" w:color="auto"/>
            </w:tcBorders>
            <w:shd w:val="clear" w:color="000000" w:fill="DDD9C4"/>
            <w:noWrap/>
            <w:textDirection w:val="btLr"/>
            <w:hideMark/>
          </w:tcPr>
          <w:p w:rsidR="00147768" w:rsidRPr="00147768" w:rsidRDefault="00147768" w:rsidP="00147768">
            <w:pPr>
              <w:jc w:val="center"/>
              <w:rPr>
                <w:rFonts w:ascii="Calibri" w:hAnsi="Calibri" w:cs="Calibri"/>
                <w:color w:val="000000"/>
                <w:sz w:val="18"/>
                <w:szCs w:val="18"/>
              </w:rPr>
            </w:pPr>
            <w:r w:rsidRPr="00147768">
              <w:rPr>
                <w:rFonts w:ascii="Calibri" w:hAnsi="Calibri" w:cs="Calibri"/>
                <w:color w:val="000000"/>
                <w:sz w:val="18"/>
                <w:szCs w:val="18"/>
              </w:rPr>
              <w:t>1,01</w:t>
            </w:r>
          </w:p>
        </w:tc>
        <w:tc>
          <w:tcPr>
            <w:tcW w:w="317" w:type="dxa"/>
            <w:tcBorders>
              <w:top w:val="nil"/>
              <w:left w:val="nil"/>
              <w:bottom w:val="single" w:sz="4" w:space="0" w:color="auto"/>
              <w:right w:val="single" w:sz="4" w:space="0" w:color="auto"/>
            </w:tcBorders>
            <w:shd w:val="clear" w:color="000000" w:fill="DDD9C4"/>
            <w:noWrap/>
            <w:textDirection w:val="btLr"/>
            <w:hideMark/>
          </w:tcPr>
          <w:p w:rsidR="00147768" w:rsidRPr="00147768" w:rsidRDefault="00147768" w:rsidP="00147768">
            <w:pPr>
              <w:jc w:val="center"/>
              <w:rPr>
                <w:rFonts w:ascii="Calibri" w:hAnsi="Calibri" w:cs="Calibri"/>
                <w:color w:val="000000"/>
                <w:sz w:val="18"/>
                <w:szCs w:val="18"/>
              </w:rPr>
            </w:pPr>
            <w:r w:rsidRPr="00147768">
              <w:rPr>
                <w:rFonts w:ascii="Calibri" w:hAnsi="Calibri" w:cs="Calibri"/>
                <w:color w:val="000000"/>
                <w:sz w:val="18"/>
                <w:szCs w:val="18"/>
              </w:rPr>
              <w:t>0,63</w:t>
            </w:r>
          </w:p>
        </w:tc>
        <w:tc>
          <w:tcPr>
            <w:tcW w:w="317" w:type="dxa"/>
            <w:tcBorders>
              <w:top w:val="nil"/>
              <w:left w:val="nil"/>
              <w:bottom w:val="single" w:sz="4" w:space="0" w:color="auto"/>
              <w:right w:val="single" w:sz="4" w:space="0" w:color="auto"/>
            </w:tcBorders>
            <w:shd w:val="clear" w:color="000000" w:fill="DDD9C4"/>
            <w:noWrap/>
            <w:textDirection w:val="btLr"/>
            <w:hideMark/>
          </w:tcPr>
          <w:p w:rsidR="00147768" w:rsidRPr="00147768" w:rsidRDefault="00147768" w:rsidP="00147768">
            <w:pPr>
              <w:jc w:val="center"/>
              <w:rPr>
                <w:rFonts w:ascii="Calibri" w:hAnsi="Calibri" w:cs="Calibri"/>
                <w:color w:val="000000"/>
                <w:sz w:val="18"/>
                <w:szCs w:val="18"/>
              </w:rPr>
            </w:pPr>
            <w:r w:rsidRPr="00147768">
              <w:rPr>
                <w:rFonts w:ascii="Calibri" w:hAnsi="Calibri" w:cs="Calibri"/>
                <w:color w:val="000000"/>
                <w:sz w:val="18"/>
                <w:szCs w:val="18"/>
              </w:rPr>
              <w:t>1,39</w:t>
            </w:r>
          </w:p>
        </w:tc>
      </w:tr>
    </w:tbl>
    <w:p w:rsidR="00DD5C60" w:rsidRDefault="00DD5C60" w:rsidP="00DD5C60">
      <w:pPr>
        <w:pStyle w:val="Legenda"/>
        <w:spacing w:line="276" w:lineRule="auto"/>
      </w:pPr>
      <w:r w:rsidRPr="00FB4E3B">
        <w:t xml:space="preserve">Źródło: </w:t>
      </w:r>
      <w:r>
        <w:t xml:space="preserve">opracowanie własne na podstawie </w:t>
      </w:r>
      <w:r w:rsidRPr="00FB4E3B">
        <w:t>Bank</w:t>
      </w:r>
      <w:r>
        <w:t>u</w:t>
      </w:r>
      <w:r w:rsidRPr="00FB4E3B">
        <w:t xml:space="preserve"> Danych Lokalnych GUS</w:t>
      </w:r>
      <w:r>
        <w:t xml:space="preserve"> oraz danych szacunkowych w proporcji do liczby zamieszkałych kobiet i mężczyzn w poszczególnych miejscowościach gminnych</w:t>
      </w:r>
      <w:r w:rsidR="00763DD6">
        <w:t xml:space="preserve"> – dane za 2014 rok</w:t>
      </w:r>
      <w:r>
        <w:t>.</w:t>
      </w:r>
    </w:p>
    <w:p w:rsidR="00DD5C60" w:rsidRDefault="00DD5C60" w:rsidP="00DD5C60"/>
    <w:p w:rsidR="00DD5C60" w:rsidRDefault="00147768" w:rsidP="00DD5C60">
      <w:pPr>
        <w:pStyle w:val="Legenda"/>
      </w:pPr>
      <w:bookmarkStart w:id="89" w:name="_Toc495887782"/>
      <w:r>
        <w:rPr>
          <w:noProof/>
          <w:lang w:eastAsia="pl-PL"/>
        </w:rPr>
        <w:drawing>
          <wp:anchor distT="0" distB="0" distL="114300" distR="114300" simplePos="0" relativeHeight="251660288" behindDoc="1" locked="0" layoutInCell="1" allowOverlap="1" wp14:anchorId="2272658B" wp14:editId="19AE4437">
            <wp:simplePos x="0" y="0"/>
            <wp:positionH relativeFrom="column">
              <wp:posOffset>2298700</wp:posOffset>
            </wp:positionH>
            <wp:positionV relativeFrom="paragraph">
              <wp:posOffset>-635</wp:posOffset>
            </wp:positionV>
            <wp:extent cx="3527425" cy="4448175"/>
            <wp:effectExtent l="0" t="0" r="0" b="9525"/>
            <wp:wrapTight wrapText="bothSides">
              <wp:wrapPolygon edited="0">
                <wp:start x="0" y="0"/>
                <wp:lineTo x="0" y="21554"/>
                <wp:lineTo x="21464" y="21554"/>
                <wp:lineTo x="21464" y="0"/>
                <wp:lineTo x="0" y="0"/>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7425" cy="444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5C60">
        <w:t xml:space="preserve">Mapa </w:t>
      </w:r>
      <w:r w:rsidR="00172343">
        <w:fldChar w:fldCharType="begin"/>
      </w:r>
      <w:r w:rsidR="00172343">
        <w:instrText xml:space="preserve"> SEQ Mapa \* ARABIC </w:instrText>
      </w:r>
      <w:r w:rsidR="00172343">
        <w:fldChar w:fldCharType="separate"/>
      </w:r>
      <w:r w:rsidR="00883893">
        <w:rPr>
          <w:noProof/>
        </w:rPr>
        <w:t>6</w:t>
      </w:r>
      <w:r w:rsidR="00172343">
        <w:rPr>
          <w:noProof/>
        </w:rPr>
        <w:fldChar w:fldCharType="end"/>
      </w:r>
      <w:r w:rsidR="00DD5C60">
        <w:t xml:space="preserve"> </w:t>
      </w:r>
      <w:r>
        <w:t>„</w:t>
      </w:r>
      <w:r w:rsidRPr="00147768">
        <w:t>Przyrost naturalny w przeliczeniu na 100 osób wg faktycznego miejsca zamieszkania</w:t>
      </w:r>
      <w:r>
        <w:t>”</w:t>
      </w:r>
      <w:r w:rsidRPr="00147768">
        <w:t xml:space="preserve"> </w:t>
      </w:r>
      <w:r w:rsidR="00DD5C60">
        <w:t>dla poszczególnych miejscowości</w:t>
      </w:r>
      <w:bookmarkEnd w:id="89"/>
    </w:p>
    <w:p w:rsidR="00DD5C60" w:rsidRDefault="00DD5C60" w:rsidP="00DD5C60"/>
    <w:p w:rsidR="00DD5C60" w:rsidRDefault="00DD5C60" w:rsidP="00DD5C60"/>
    <w:p w:rsidR="00DD5C60" w:rsidRDefault="00DD5C60" w:rsidP="00DD5C60">
      <w:pPr>
        <w:pStyle w:val="Legenda"/>
        <w:spacing w:line="276" w:lineRule="auto"/>
      </w:pPr>
      <w:r w:rsidRPr="00FB4E3B">
        <w:t xml:space="preserve">Źródło: </w:t>
      </w:r>
      <w:r>
        <w:t xml:space="preserve">opracowanie własne na podstawie </w:t>
      </w:r>
      <w:r w:rsidRPr="00FB4E3B">
        <w:t>Bank</w:t>
      </w:r>
      <w:r>
        <w:t>u</w:t>
      </w:r>
      <w:r w:rsidRPr="00FB4E3B">
        <w:t xml:space="preserve"> Danych Lokalnych GUS</w:t>
      </w:r>
      <w:r>
        <w:t xml:space="preserve"> oraz danych szacunkowych w proporcji do liczby zamieszkałych kobiet i mężczyzn w poszczególnych miejscowościach gminnych.</w:t>
      </w:r>
    </w:p>
    <w:p w:rsidR="00147768" w:rsidRDefault="00147768" w:rsidP="00D164AF">
      <w:pPr>
        <w:jc w:val="both"/>
      </w:pPr>
    </w:p>
    <w:p w:rsidR="00147768" w:rsidRDefault="00147768" w:rsidP="00D164AF">
      <w:pPr>
        <w:jc w:val="both"/>
      </w:pPr>
    </w:p>
    <w:p w:rsidR="00D164AF" w:rsidRDefault="00147768" w:rsidP="00D164AF">
      <w:pPr>
        <w:jc w:val="both"/>
      </w:pPr>
      <w:r>
        <w:t>W kategorii demografii następujące miejscowości spełniają wymagane minimum: Głogowiec, Ubieszyn, Tryńcza, Wólka Małkowa, Gniewczyna Łańcucka.</w:t>
      </w:r>
    </w:p>
    <w:p w:rsidR="00147768" w:rsidRPr="0080043B" w:rsidRDefault="00147768" w:rsidP="00D164AF">
      <w:pPr>
        <w:jc w:val="both"/>
      </w:pPr>
    </w:p>
    <w:p w:rsidR="00147768" w:rsidRDefault="00147768" w:rsidP="00147768">
      <w:pPr>
        <w:pStyle w:val="Nagwek2"/>
      </w:pPr>
      <w:bookmarkStart w:id="90" w:name="_Toc496558080"/>
      <w:r>
        <w:lastRenderedPageBreak/>
        <w:t>Kategoria: rynek pracy</w:t>
      </w:r>
      <w:bookmarkEnd w:id="90"/>
    </w:p>
    <w:p w:rsidR="00147768" w:rsidRDefault="00147768" w:rsidP="00147768">
      <w:pPr>
        <w:jc w:val="both"/>
      </w:pPr>
      <w:r>
        <w:t xml:space="preserve">Zgodnie z </w:t>
      </w:r>
      <w:r w:rsidRPr="007C3562">
        <w:rPr>
          <w:i/>
        </w:rPr>
        <w:t xml:space="preserve">Instrukcją </w:t>
      </w:r>
      <w:r>
        <w:t xml:space="preserve">w kategorii rynek pracy określono następujące wskaźniki: </w:t>
      </w:r>
    </w:p>
    <w:p w:rsidR="00147768" w:rsidRDefault="00147768" w:rsidP="00147768">
      <w:pPr>
        <w:pStyle w:val="Bezodstpw"/>
        <w:numPr>
          <w:ilvl w:val="0"/>
          <w:numId w:val="2"/>
        </w:numPr>
      </w:pPr>
      <w:r w:rsidRPr="00147768">
        <w:t>Liczba długotrwale bezrobotnych w % bezrobotnych ogółem</w:t>
      </w:r>
    </w:p>
    <w:p w:rsidR="00147768" w:rsidRDefault="00147768" w:rsidP="00147768">
      <w:pPr>
        <w:pStyle w:val="Bezodstpw"/>
      </w:pPr>
    </w:p>
    <w:p w:rsidR="00147768" w:rsidRDefault="00147768" w:rsidP="00147768">
      <w:pPr>
        <w:pStyle w:val="Legenda"/>
        <w:jc w:val="both"/>
      </w:pPr>
      <w:bookmarkStart w:id="91" w:name="_Toc495887808"/>
      <w:r>
        <w:t xml:space="preserve">Tabela </w:t>
      </w:r>
      <w:r w:rsidR="00172343">
        <w:fldChar w:fldCharType="begin"/>
      </w:r>
      <w:r w:rsidR="00172343">
        <w:instrText xml:space="preserve"> SEQ Tabela \* ARABIC </w:instrText>
      </w:r>
      <w:r w:rsidR="00172343">
        <w:fldChar w:fldCharType="separate"/>
      </w:r>
      <w:r w:rsidR="00D67FEC">
        <w:rPr>
          <w:noProof/>
        </w:rPr>
        <w:t>19</w:t>
      </w:r>
      <w:r w:rsidR="00172343">
        <w:rPr>
          <w:noProof/>
        </w:rPr>
        <w:fldChar w:fldCharType="end"/>
      </w:r>
      <w:r>
        <w:t xml:space="preserve"> Wskaźnik referencyjny oraz wskaźnik „</w:t>
      </w:r>
      <w:r w:rsidRPr="00147768">
        <w:t>Liczba długotrwale bezrobotnych w % bezrobotnych ogółem</w:t>
      </w:r>
      <w:r>
        <w:t>” dla poszczególnych miejscowości</w:t>
      </w:r>
      <w:bookmarkEnd w:id="91"/>
    </w:p>
    <w:tbl>
      <w:tblPr>
        <w:tblW w:w="10129" w:type="dxa"/>
        <w:jc w:val="center"/>
        <w:tblLayout w:type="fixed"/>
        <w:tblCellMar>
          <w:left w:w="70" w:type="dxa"/>
          <w:right w:w="70" w:type="dxa"/>
        </w:tblCellMar>
        <w:tblLook w:val="04A0" w:firstRow="1" w:lastRow="0" w:firstColumn="1" w:lastColumn="0" w:noHBand="0" w:noVBand="1"/>
      </w:tblPr>
      <w:tblGrid>
        <w:gridCol w:w="316"/>
        <w:gridCol w:w="317"/>
        <w:gridCol w:w="316"/>
        <w:gridCol w:w="317"/>
        <w:gridCol w:w="316"/>
        <w:gridCol w:w="317"/>
        <w:gridCol w:w="316"/>
        <w:gridCol w:w="317"/>
        <w:gridCol w:w="316"/>
        <w:gridCol w:w="317"/>
        <w:gridCol w:w="316"/>
        <w:gridCol w:w="317"/>
        <w:gridCol w:w="316"/>
        <w:gridCol w:w="317"/>
        <w:gridCol w:w="316"/>
        <w:gridCol w:w="317"/>
        <w:gridCol w:w="317"/>
        <w:gridCol w:w="316"/>
        <w:gridCol w:w="317"/>
        <w:gridCol w:w="316"/>
        <w:gridCol w:w="317"/>
        <w:gridCol w:w="316"/>
        <w:gridCol w:w="317"/>
        <w:gridCol w:w="316"/>
        <w:gridCol w:w="317"/>
        <w:gridCol w:w="316"/>
        <w:gridCol w:w="317"/>
        <w:gridCol w:w="316"/>
        <w:gridCol w:w="317"/>
        <w:gridCol w:w="316"/>
        <w:gridCol w:w="317"/>
        <w:gridCol w:w="317"/>
      </w:tblGrid>
      <w:tr w:rsidR="00147768" w:rsidRPr="00D164AF" w:rsidTr="009A08A9">
        <w:trPr>
          <w:trHeight w:val="2891"/>
          <w:jc w:val="center"/>
        </w:trPr>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147768" w:rsidRPr="00D164AF" w:rsidRDefault="00147768" w:rsidP="009A08A9">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dane referencyjne 2014</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147768" w:rsidRPr="00D164AF" w:rsidRDefault="00147768" w:rsidP="009A08A9">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POWIAT PRZEWORSKI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(ogółem)</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(mężczyźni)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(kobiety)</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(ogółem)</w:t>
            </w:r>
          </w:p>
        </w:tc>
        <w:tc>
          <w:tcPr>
            <w:tcW w:w="316"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(mężczyźni)</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(kobiety)</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(ogółem)</w:t>
            </w:r>
          </w:p>
        </w:tc>
        <w:tc>
          <w:tcPr>
            <w:tcW w:w="317"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(mężczyźni)</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(kobiety)</w:t>
            </w:r>
          </w:p>
        </w:tc>
        <w:tc>
          <w:tcPr>
            <w:tcW w:w="316"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(ogółem)</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(mężczyźni)</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(kobiety)</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(ogółem)</w:t>
            </w:r>
          </w:p>
        </w:tc>
        <w:tc>
          <w:tcPr>
            <w:tcW w:w="317"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(mężczyźni)</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(kobiety)</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(ogółem)</w:t>
            </w:r>
          </w:p>
        </w:tc>
        <w:tc>
          <w:tcPr>
            <w:tcW w:w="317"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(mężczyźni)</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(kobiety)</w:t>
            </w:r>
          </w:p>
        </w:tc>
        <w:tc>
          <w:tcPr>
            <w:tcW w:w="316"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(ogółem)</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(mężczyźni)</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147768" w:rsidRPr="00D164AF" w:rsidRDefault="0014776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(kobiety)</w:t>
            </w:r>
          </w:p>
        </w:tc>
      </w:tr>
      <w:tr w:rsidR="00EE75DB" w:rsidRPr="00D164AF" w:rsidTr="00EE75DB">
        <w:trPr>
          <w:trHeight w:val="630"/>
          <w:jc w:val="center"/>
        </w:trPr>
        <w:tc>
          <w:tcPr>
            <w:tcW w:w="316"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61,50%</w:t>
            </w:r>
          </w:p>
        </w:tc>
        <w:tc>
          <w:tcPr>
            <w:tcW w:w="317"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color w:val="000000"/>
                <w:sz w:val="18"/>
                <w:szCs w:val="18"/>
              </w:rPr>
            </w:pPr>
            <w:r>
              <w:rPr>
                <w:rFonts w:ascii="Calibri" w:hAnsi="Calibri" w:cs="Calibri"/>
                <w:color w:val="000000"/>
                <w:sz w:val="18"/>
                <w:szCs w:val="18"/>
              </w:rPr>
              <w:t>42,53%</w:t>
            </w:r>
          </w:p>
        </w:tc>
        <w:tc>
          <w:tcPr>
            <w:tcW w:w="316"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62,29%</w:t>
            </w:r>
          </w:p>
        </w:tc>
        <w:tc>
          <w:tcPr>
            <w:tcW w:w="317"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54,19%</w:t>
            </w:r>
          </w:p>
        </w:tc>
        <w:tc>
          <w:tcPr>
            <w:tcW w:w="316"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70,52%</w:t>
            </w:r>
          </w:p>
        </w:tc>
        <w:tc>
          <w:tcPr>
            <w:tcW w:w="317" w:type="dxa"/>
            <w:tcBorders>
              <w:top w:val="nil"/>
              <w:left w:val="nil"/>
              <w:bottom w:val="single" w:sz="4" w:space="0" w:color="auto"/>
              <w:right w:val="single" w:sz="4" w:space="0" w:color="auto"/>
            </w:tcBorders>
            <w:shd w:val="clear" w:color="000000" w:fill="FDE9D9"/>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69,57%</w:t>
            </w:r>
          </w:p>
        </w:tc>
        <w:tc>
          <w:tcPr>
            <w:tcW w:w="316" w:type="dxa"/>
            <w:tcBorders>
              <w:top w:val="nil"/>
              <w:left w:val="nil"/>
              <w:bottom w:val="single" w:sz="4" w:space="0" w:color="auto"/>
              <w:right w:val="single" w:sz="4" w:space="0" w:color="auto"/>
            </w:tcBorders>
            <w:shd w:val="clear" w:color="000000" w:fill="FDE9D9"/>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72,73%</w:t>
            </w:r>
          </w:p>
        </w:tc>
        <w:tc>
          <w:tcPr>
            <w:tcW w:w="317" w:type="dxa"/>
            <w:tcBorders>
              <w:top w:val="nil"/>
              <w:left w:val="nil"/>
              <w:bottom w:val="single" w:sz="4" w:space="0" w:color="auto"/>
              <w:right w:val="single" w:sz="4" w:space="0" w:color="auto"/>
            </w:tcBorders>
            <w:shd w:val="clear" w:color="000000" w:fill="FDE9D9"/>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66,67%</w:t>
            </w:r>
          </w:p>
        </w:tc>
        <w:tc>
          <w:tcPr>
            <w:tcW w:w="316" w:type="dxa"/>
            <w:tcBorders>
              <w:top w:val="nil"/>
              <w:left w:val="nil"/>
              <w:bottom w:val="single" w:sz="4" w:space="0" w:color="auto"/>
              <w:right w:val="single" w:sz="4" w:space="0" w:color="auto"/>
            </w:tcBorders>
            <w:shd w:val="clear" w:color="000000" w:fill="DAEEF3"/>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66,08%</w:t>
            </w:r>
          </w:p>
        </w:tc>
        <w:tc>
          <w:tcPr>
            <w:tcW w:w="317" w:type="dxa"/>
            <w:tcBorders>
              <w:top w:val="nil"/>
              <w:left w:val="nil"/>
              <w:bottom w:val="single" w:sz="4" w:space="0" w:color="auto"/>
              <w:right w:val="single" w:sz="4" w:space="0" w:color="auto"/>
            </w:tcBorders>
            <w:shd w:val="clear" w:color="000000" w:fill="DAEEF3"/>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54,35%</w:t>
            </w:r>
          </w:p>
        </w:tc>
        <w:tc>
          <w:tcPr>
            <w:tcW w:w="316" w:type="dxa"/>
            <w:tcBorders>
              <w:top w:val="nil"/>
              <w:left w:val="nil"/>
              <w:bottom w:val="single" w:sz="4" w:space="0" w:color="auto"/>
              <w:right w:val="single" w:sz="4" w:space="0" w:color="auto"/>
            </w:tcBorders>
            <w:shd w:val="clear" w:color="000000" w:fill="DAEEF3"/>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79,75%</w:t>
            </w:r>
          </w:p>
        </w:tc>
        <w:tc>
          <w:tcPr>
            <w:tcW w:w="317"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sz w:val="18"/>
                <w:szCs w:val="18"/>
              </w:rPr>
            </w:pPr>
            <w:r>
              <w:rPr>
                <w:rFonts w:ascii="Calibri" w:hAnsi="Calibri" w:cs="Calibri"/>
                <w:sz w:val="18"/>
                <w:szCs w:val="18"/>
              </w:rPr>
              <w:t>48,33%</w:t>
            </w:r>
          </w:p>
        </w:tc>
        <w:tc>
          <w:tcPr>
            <w:tcW w:w="316"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sz w:val="18"/>
                <w:szCs w:val="18"/>
              </w:rPr>
            </w:pPr>
            <w:r>
              <w:rPr>
                <w:rFonts w:ascii="Calibri" w:hAnsi="Calibri" w:cs="Calibri"/>
                <w:sz w:val="18"/>
                <w:szCs w:val="18"/>
              </w:rPr>
              <w:t>48,28%</w:t>
            </w:r>
          </w:p>
        </w:tc>
        <w:tc>
          <w:tcPr>
            <w:tcW w:w="317"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sz w:val="18"/>
                <w:szCs w:val="18"/>
              </w:rPr>
            </w:pPr>
            <w:r>
              <w:rPr>
                <w:rFonts w:ascii="Calibri" w:hAnsi="Calibri" w:cs="Calibri"/>
                <w:sz w:val="18"/>
                <w:szCs w:val="18"/>
              </w:rPr>
              <w:t>48,39%</w:t>
            </w:r>
          </w:p>
        </w:tc>
        <w:tc>
          <w:tcPr>
            <w:tcW w:w="316" w:type="dxa"/>
            <w:tcBorders>
              <w:top w:val="nil"/>
              <w:left w:val="nil"/>
              <w:bottom w:val="single" w:sz="4" w:space="0" w:color="auto"/>
              <w:right w:val="single" w:sz="4" w:space="0" w:color="auto"/>
            </w:tcBorders>
            <w:shd w:val="clear" w:color="000000" w:fill="E4DFEC"/>
            <w:noWrap/>
            <w:textDirection w:val="btLr"/>
            <w:hideMark/>
          </w:tcPr>
          <w:p w:rsidR="00EE75DB" w:rsidRDefault="00EE75DB">
            <w:pPr>
              <w:jc w:val="right"/>
              <w:rPr>
                <w:rFonts w:ascii="Calibri" w:hAnsi="Calibri" w:cs="Calibri"/>
                <w:sz w:val="18"/>
                <w:szCs w:val="18"/>
              </w:rPr>
            </w:pPr>
            <w:r>
              <w:rPr>
                <w:rFonts w:ascii="Calibri" w:hAnsi="Calibri" w:cs="Calibri"/>
                <w:sz w:val="18"/>
                <w:szCs w:val="18"/>
              </w:rPr>
              <w:t>56,84%</w:t>
            </w:r>
          </w:p>
        </w:tc>
        <w:tc>
          <w:tcPr>
            <w:tcW w:w="317" w:type="dxa"/>
            <w:tcBorders>
              <w:top w:val="nil"/>
              <w:left w:val="nil"/>
              <w:bottom w:val="single" w:sz="4" w:space="0" w:color="auto"/>
              <w:right w:val="single" w:sz="4" w:space="0" w:color="auto"/>
            </w:tcBorders>
            <w:shd w:val="clear" w:color="000000" w:fill="E4DFEC"/>
            <w:noWrap/>
            <w:textDirection w:val="btLr"/>
            <w:hideMark/>
          </w:tcPr>
          <w:p w:rsidR="00EE75DB" w:rsidRDefault="00EE75DB">
            <w:pPr>
              <w:jc w:val="right"/>
              <w:rPr>
                <w:rFonts w:ascii="Calibri" w:hAnsi="Calibri" w:cs="Calibri"/>
                <w:sz w:val="18"/>
                <w:szCs w:val="18"/>
              </w:rPr>
            </w:pPr>
            <w:r>
              <w:rPr>
                <w:rFonts w:ascii="Calibri" w:hAnsi="Calibri" w:cs="Calibri"/>
                <w:sz w:val="18"/>
                <w:szCs w:val="18"/>
              </w:rPr>
              <w:t>43,18%</w:t>
            </w:r>
          </w:p>
        </w:tc>
        <w:tc>
          <w:tcPr>
            <w:tcW w:w="317" w:type="dxa"/>
            <w:tcBorders>
              <w:top w:val="nil"/>
              <w:left w:val="nil"/>
              <w:bottom w:val="single" w:sz="4" w:space="0" w:color="auto"/>
              <w:right w:val="single" w:sz="4" w:space="0" w:color="auto"/>
            </w:tcBorders>
            <w:shd w:val="clear" w:color="000000" w:fill="E4DFEC"/>
            <w:noWrap/>
            <w:textDirection w:val="btLr"/>
            <w:hideMark/>
          </w:tcPr>
          <w:p w:rsidR="00EE75DB" w:rsidRDefault="00EE75DB">
            <w:pPr>
              <w:jc w:val="right"/>
              <w:rPr>
                <w:rFonts w:ascii="Calibri" w:hAnsi="Calibri" w:cs="Calibri"/>
                <w:sz w:val="18"/>
                <w:szCs w:val="18"/>
              </w:rPr>
            </w:pPr>
            <w:r>
              <w:rPr>
                <w:rFonts w:ascii="Calibri" w:hAnsi="Calibri" w:cs="Calibri"/>
                <w:sz w:val="18"/>
                <w:szCs w:val="18"/>
              </w:rPr>
              <w:t>68,63%</w:t>
            </w:r>
          </w:p>
        </w:tc>
        <w:tc>
          <w:tcPr>
            <w:tcW w:w="316" w:type="dxa"/>
            <w:tcBorders>
              <w:top w:val="nil"/>
              <w:left w:val="nil"/>
              <w:bottom w:val="single" w:sz="4" w:space="0" w:color="auto"/>
              <w:right w:val="single" w:sz="4" w:space="0" w:color="auto"/>
            </w:tcBorders>
            <w:shd w:val="clear" w:color="000000" w:fill="EBF1DE"/>
            <w:noWrap/>
            <w:textDirection w:val="btLr"/>
            <w:hideMark/>
          </w:tcPr>
          <w:p w:rsidR="00EE75DB" w:rsidRDefault="00EE75DB">
            <w:pPr>
              <w:jc w:val="right"/>
              <w:rPr>
                <w:rFonts w:ascii="Calibri" w:hAnsi="Calibri" w:cs="Calibri"/>
                <w:sz w:val="18"/>
                <w:szCs w:val="18"/>
              </w:rPr>
            </w:pPr>
            <w:r>
              <w:rPr>
                <w:rFonts w:ascii="Calibri" w:hAnsi="Calibri" w:cs="Calibri"/>
                <w:sz w:val="18"/>
                <w:szCs w:val="18"/>
              </w:rPr>
              <w:t>59,09%</w:t>
            </w:r>
          </w:p>
        </w:tc>
        <w:tc>
          <w:tcPr>
            <w:tcW w:w="317" w:type="dxa"/>
            <w:tcBorders>
              <w:top w:val="nil"/>
              <w:left w:val="nil"/>
              <w:bottom w:val="single" w:sz="4" w:space="0" w:color="auto"/>
              <w:right w:val="single" w:sz="4" w:space="0" w:color="auto"/>
            </w:tcBorders>
            <w:shd w:val="clear" w:color="000000" w:fill="EBF1DE"/>
            <w:noWrap/>
            <w:textDirection w:val="btLr"/>
            <w:hideMark/>
          </w:tcPr>
          <w:p w:rsidR="00EE75DB" w:rsidRDefault="00EE75DB">
            <w:pPr>
              <w:jc w:val="right"/>
              <w:rPr>
                <w:rFonts w:ascii="Calibri" w:hAnsi="Calibri" w:cs="Calibri"/>
                <w:sz w:val="18"/>
                <w:szCs w:val="18"/>
              </w:rPr>
            </w:pPr>
            <w:r>
              <w:rPr>
                <w:rFonts w:ascii="Calibri" w:hAnsi="Calibri" w:cs="Calibri"/>
                <w:sz w:val="18"/>
                <w:szCs w:val="18"/>
              </w:rPr>
              <w:t>51,67%</w:t>
            </w:r>
          </w:p>
        </w:tc>
        <w:tc>
          <w:tcPr>
            <w:tcW w:w="316" w:type="dxa"/>
            <w:tcBorders>
              <w:top w:val="nil"/>
              <w:left w:val="nil"/>
              <w:bottom w:val="single" w:sz="4" w:space="0" w:color="auto"/>
              <w:right w:val="single" w:sz="4" w:space="0" w:color="auto"/>
            </w:tcBorders>
            <w:shd w:val="clear" w:color="000000" w:fill="EBF1DE"/>
            <w:noWrap/>
            <w:textDirection w:val="btLr"/>
            <w:hideMark/>
          </w:tcPr>
          <w:p w:rsidR="00EE75DB" w:rsidRDefault="00EE75DB">
            <w:pPr>
              <w:jc w:val="right"/>
              <w:rPr>
                <w:rFonts w:ascii="Calibri" w:hAnsi="Calibri" w:cs="Calibri"/>
                <w:sz w:val="18"/>
                <w:szCs w:val="18"/>
              </w:rPr>
            </w:pPr>
            <w:r>
              <w:rPr>
                <w:rFonts w:ascii="Calibri" w:hAnsi="Calibri" w:cs="Calibri"/>
                <w:sz w:val="18"/>
                <w:szCs w:val="18"/>
              </w:rPr>
              <w:t>68,00%</w:t>
            </w:r>
          </w:p>
        </w:tc>
        <w:tc>
          <w:tcPr>
            <w:tcW w:w="317"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67,86%</w:t>
            </w:r>
          </w:p>
        </w:tc>
        <w:tc>
          <w:tcPr>
            <w:tcW w:w="316"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60,38%</w:t>
            </w:r>
          </w:p>
        </w:tc>
        <w:tc>
          <w:tcPr>
            <w:tcW w:w="317"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74,58%</w:t>
            </w:r>
          </w:p>
        </w:tc>
        <w:tc>
          <w:tcPr>
            <w:tcW w:w="316" w:type="dxa"/>
            <w:tcBorders>
              <w:top w:val="nil"/>
              <w:left w:val="nil"/>
              <w:bottom w:val="single" w:sz="4" w:space="0" w:color="auto"/>
              <w:right w:val="single" w:sz="4" w:space="0" w:color="auto"/>
            </w:tcBorders>
            <w:shd w:val="clear" w:color="000000" w:fill="C5D9F1"/>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77,27%</w:t>
            </w:r>
          </w:p>
        </w:tc>
        <w:tc>
          <w:tcPr>
            <w:tcW w:w="317" w:type="dxa"/>
            <w:tcBorders>
              <w:top w:val="nil"/>
              <w:left w:val="nil"/>
              <w:bottom w:val="single" w:sz="4" w:space="0" w:color="auto"/>
              <w:right w:val="single" w:sz="4" w:space="0" w:color="auto"/>
            </w:tcBorders>
            <w:shd w:val="clear" w:color="000000" w:fill="C5D9F1"/>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69,57%</w:t>
            </w:r>
          </w:p>
        </w:tc>
        <w:tc>
          <w:tcPr>
            <w:tcW w:w="316" w:type="dxa"/>
            <w:tcBorders>
              <w:top w:val="nil"/>
              <w:left w:val="nil"/>
              <w:bottom w:val="single" w:sz="4" w:space="0" w:color="auto"/>
              <w:right w:val="single" w:sz="4" w:space="0" w:color="auto"/>
            </w:tcBorders>
            <w:shd w:val="clear" w:color="000000" w:fill="C5D9F1"/>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85,71%</w:t>
            </w:r>
          </w:p>
        </w:tc>
        <w:tc>
          <w:tcPr>
            <w:tcW w:w="317"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sz w:val="18"/>
                <w:szCs w:val="18"/>
              </w:rPr>
            </w:pPr>
            <w:r>
              <w:rPr>
                <w:rFonts w:ascii="Calibri" w:hAnsi="Calibri" w:cs="Calibri"/>
                <w:sz w:val="18"/>
                <w:szCs w:val="18"/>
              </w:rPr>
              <w:t>40,74%</w:t>
            </w:r>
          </w:p>
        </w:tc>
        <w:tc>
          <w:tcPr>
            <w:tcW w:w="316"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sz w:val="18"/>
                <w:szCs w:val="18"/>
              </w:rPr>
            </w:pPr>
            <w:r>
              <w:rPr>
                <w:rFonts w:ascii="Calibri" w:hAnsi="Calibri" w:cs="Calibri"/>
                <w:sz w:val="18"/>
                <w:szCs w:val="18"/>
              </w:rPr>
              <w:t>33,33%</w:t>
            </w:r>
          </w:p>
        </w:tc>
        <w:tc>
          <w:tcPr>
            <w:tcW w:w="317"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sz w:val="18"/>
                <w:szCs w:val="18"/>
              </w:rPr>
            </w:pPr>
            <w:r>
              <w:rPr>
                <w:rFonts w:ascii="Calibri" w:hAnsi="Calibri" w:cs="Calibri"/>
                <w:sz w:val="18"/>
                <w:szCs w:val="18"/>
              </w:rPr>
              <w:t>46,67%</w:t>
            </w:r>
          </w:p>
        </w:tc>
        <w:tc>
          <w:tcPr>
            <w:tcW w:w="316" w:type="dxa"/>
            <w:tcBorders>
              <w:top w:val="nil"/>
              <w:left w:val="nil"/>
              <w:bottom w:val="single" w:sz="4" w:space="0" w:color="auto"/>
              <w:right w:val="single" w:sz="4" w:space="0" w:color="auto"/>
            </w:tcBorders>
            <w:shd w:val="clear" w:color="000000" w:fill="DDD9C4"/>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71,43%</w:t>
            </w:r>
          </w:p>
        </w:tc>
        <w:tc>
          <w:tcPr>
            <w:tcW w:w="317" w:type="dxa"/>
            <w:tcBorders>
              <w:top w:val="nil"/>
              <w:left w:val="nil"/>
              <w:bottom w:val="single" w:sz="4" w:space="0" w:color="auto"/>
              <w:right w:val="single" w:sz="4" w:space="0" w:color="auto"/>
            </w:tcBorders>
            <w:shd w:val="clear" w:color="000000" w:fill="DDD9C4"/>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70,00%</w:t>
            </w:r>
          </w:p>
        </w:tc>
        <w:tc>
          <w:tcPr>
            <w:tcW w:w="317" w:type="dxa"/>
            <w:tcBorders>
              <w:top w:val="nil"/>
              <w:left w:val="nil"/>
              <w:bottom w:val="single" w:sz="4" w:space="0" w:color="auto"/>
              <w:right w:val="single" w:sz="4" w:space="0" w:color="auto"/>
            </w:tcBorders>
            <w:shd w:val="clear" w:color="000000" w:fill="DDD9C4"/>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72,73%</w:t>
            </w:r>
          </w:p>
        </w:tc>
      </w:tr>
    </w:tbl>
    <w:p w:rsidR="00147768" w:rsidRDefault="00147768" w:rsidP="00147768">
      <w:pPr>
        <w:pStyle w:val="Legenda"/>
        <w:spacing w:line="276" w:lineRule="auto"/>
      </w:pPr>
      <w:r w:rsidRPr="00FB4E3B">
        <w:t xml:space="preserve">Źródło: </w:t>
      </w:r>
      <w:r>
        <w:t>opracowanie własne na podstawie danych Powiatowego Urzędu Pracy w Przeworsku</w:t>
      </w:r>
      <w:r w:rsidR="00763DD6">
        <w:t xml:space="preserve"> – dane za 2014 rok</w:t>
      </w:r>
    </w:p>
    <w:p w:rsidR="00EE75DB" w:rsidRDefault="00EE75DB" w:rsidP="00147768">
      <w:pPr>
        <w:pStyle w:val="Bezodstpw"/>
      </w:pPr>
      <w:r>
        <w:rPr>
          <w:noProof/>
          <w:lang w:eastAsia="pl-PL"/>
        </w:rPr>
        <w:drawing>
          <wp:anchor distT="0" distB="0" distL="114300" distR="114300" simplePos="0" relativeHeight="251661312" behindDoc="1" locked="0" layoutInCell="1" allowOverlap="1" wp14:anchorId="3638E751" wp14:editId="400EDF93">
            <wp:simplePos x="0" y="0"/>
            <wp:positionH relativeFrom="column">
              <wp:posOffset>-356870</wp:posOffset>
            </wp:positionH>
            <wp:positionV relativeFrom="paragraph">
              <wp:posOffset>93980</wp:posOffset>
            </wp:positionV>
            <wp:extent cx="3476625" cy="4993640"/>
            <wp:effectExtent l="0" t="0" r="9525" b="0"/>
            <wp:wrapTight wrapText="bothSides">
              <wp:wrapPolygon edited="0">
                <wp:start x="0" y="0"/>
                <wp:lineTo x="0" y="21507"/>
                <wp:lineTo x="21541" y="21507"/>
                <wp:lineTo x="21541" y="0"/>
                <wp:lineTo x="0"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76625" cy="4993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5DB" w:rsidRDefault="00EE75DB" w:rsidP="00147768">
      <w:pPr>
        <w:pStyle w:val="Bezodstpw"/>
      </w:pPr>
    </w:p>
    <w:p w:rsidR="00EE75DB" w:rsidRDefault="00EE75DB" w:rsidP="00EE75DB">
      <w:pPr>
        <w:pStyle w:val="Legenda"/>
      </w:pPr>
      <w:bookmarkStart w:id="92" w:name="_Toc495887783"/>
      <w:r>
        <w:t xml:space="preserve">Mapa </w:t>
      </w:r>
      <w:r w:rsidR="00172343">
        <w:fldChar w:fldCharType="begin"/>
      </w:r>
      <w:r w:rsidR="00172343">
        <w:instrText xml:space="preserve"> SEQ Mapa \* ARABIC </w:instrText>
      </w:r>
      <w:r w:rsidR="00172343">
        <w:fldChar w:fldCharType="separate"/>
      </w:r>
      <w:r w:rsidR="00883893">
        <w:rPr>
          <w:noProof/>
        </w:rPr>
        <w:t>7</w:t>
      </w:r>
      <w:r w:rsidR="00172343">
        <w:rPr>
          <w:noProof/>
        </w:rPr>
        <w:fldChar w:fldCharType="end"/>
      </w:r>
      <w:r>
        <w:t xml:space="preserve"> „</w:t>
      </w:r>
      <w:r w:rsidRPr="00147768">
        <w:t>Przyrost naturalny w przeliczeniu na 100 osób wg faktycznego miejsca zamieszkania</w:t>
      </w:r>
      <w:r>
        <w:t>”</w:t>
      </w:r>
      <w:r w:rsidRPr="00147768">
        <w:t xml:space="preserve"> </w:t>
      </w:r>
      <w:r>
        <w:t>dla poszczególnych miejscowości</w:t>
      </w:r>
      <w:bookmarkEnd w:id="92"/>
    </w:p>
    <w:p w:rsidR="00EE75DB" w:rsidRDefault="00EE75DB" w:rsidP="00147768">
      <w:pPr>
        <w:pStyle w:val="Bezodstpw"/>
      </w:pPr>
    </w:p>
    <w:p w:rsidR="00EE75DB" w:rsidRDefault="00EE75DB" w:rsidP="00147768">
      <w:pPr>
        <w:pStyle w:val="Bezodstpw"/>
      </w:pPr>
    </w:p>
    <w:p w:rsidR="00EE75DB" w:rsidRDefault="00EE75DB" w:rsidP="00147768">
      <w:pPr>
        <w:pStyle w:val="Bezodstpw"/>
      </w:pPr>
    </w:p>
    <w:p w:rsidR="00EE75DB" w:rsidRDefault="00EE75DB" w:rsidP="00147768">
      <w:pPr>
        <w:pStyle w:val="Bezodstpw"/>
      </w:pPr>
    </w:p>
    <w:p w:rsidR="00EE75DB" w:rsidRDefault="00EE75DB" w:rsidP="00147768">
      <w:pPr>
        <w:pStyle w:val="Bezodstpw"/>
      </w:pPr>
    </w:p>
    <w:p w:rsidR="00EE75DB" w:rsidRDefault="00EE75DB" w:rsidP="00147768">
      <w:pPr>
        <w:pStyle w:val="Bezodstpw"/>
      </w:pPr>
    </w:p>
    <w:p w:rsidR="00EE75DB" w:rsidRDefault="00EE75DB" w:rsidP="00147768">
      <w:pPr>
        <w:pStyle w:val="Bezodstpw"/>
      </w:pPr>
    </w:p>
    <w:p w:rsidR="00EE75DB" w:rsidRDefault="00EE75DB" w:rsidP="00147768">
      <w:pPr>
        <w:pStyle w:val="Bezodstpw"/>
      </w:pPr>
    </w:p>
    <w:p w:rsidR="00EE75DB" w:rsidRDefault="00EE75DB" w:rsidP="00147768">
      <w:pPr>
        <w:pStyle w:val="Bezodstpw"/>
      </w:pPr>
    </w:p>
    <w:p w:rsidR="00EE75DB" w:rsidRDefault="00EE75DB" w:rsidP="00147768">
      <w:pPr>
        <w:pStyle w:val="Bezodstpw"/>
      </w:pPr>
    </w:p>
    <w:p w:rsidR="00EE75DB" w:rsidRDefault="00EE75DB" w:rsidP="00147768">
      <w:pPr>
        <w:pStyle w:val="Bezodstpw"/>
      </w:pPr>
    </w:p>
    <w:p w:rsidR="00EE75DB" w:rsidRDefault="00EE75DB" w:rsidP="00147768">
      <w:pPr>
        <w:pStyle w:val="Bezodstpw"/>
      </w:pPr>
    </w:p>
    <w:p w:rsidR="00EE75DB" w:rsidRDefault="00EE75DB" w:rsidP="00147768">
      <w:pPr>
        <w:pStyle w:val="Bezodstpw"/>
      </w:pPr>
    </w:p>
    <w:p w:rsidR="00EE75DB" w:rsidRDefault="00EE75DB" w:rsidP="00147768">
      <w:pPr>
        <w:pStyle w:val="Bezodstpw"/>
      </w:pPr>
    </w:p>
    <w:p w:rsidR="00EE75DB" w:rsidRDefault="00EE75DB" w:rsidP="00147768">
      <w:pPr>
        <w:pStyle w:val="Bezodstpw"/>
      </w:pPr>
    </w:p>
    <w:p w:rsidR="00EE75DB" w:rsidRDefault="00EE75DB" w:rsidP="00147768">
      <w:pPr>
        <w:pStyle w:val="Bezodstpw"/>
      </w:pPr>
    </w:p>
    <w:p w:rsidR="00EE75DB" w:rsidRDefault="00EE75DB" w:rsidP="00147768">
      <w:pPr>
        <w:pStyle w:val="Bezodstpw"/>
      </w:pPr>
    </w:p>
    <w:p w:rsidR="00EE75DB" w:rsidRDefault="00EE75DB" w:rsidP="00147768">
      <w:pPr>
        <w:pStyle w:val="Bezodstpw"/>
      </w:pPr>
    </w:p>
    <w:p w:rsidR="00EE75DB" w:rsidRDefault="00EE75DB" w:rsidP="00147768">
      <w:pPr>
        <w:pStyle w:val="Bezodstpw"/>
      </w:pPr>
    </w:p>
    <w:p w:rsidR="00EE75DB" w:rsidRDefault="00EE75DB" w:rsidP="00147768">
      <w:pPr>
        <w:pStyle w:val="Bezodstpw"/>
      </w:pPr>
    </w:p>
    <w:p w:rsidR="00EE75DB" w:rsidRDefault="00EE75DB" w:rsidP="00147768">
      <w:pPr>
        <w:pStyle w:val="Bezodstpw"/>
      </w:pPr>
    </w:p>
    <w:p w:rsidR="00EE75DB" w:rsidRDefault="00EE75DB" w:rsidP="00EE75DB">
      <w:pPr>
        <w:pStyle w:val="Legenda"/>
        <w:spacing w:line="276" w:lineRule="auto"/>
      </w:pPr>
      <w:r w:rsidRPr="00FB4E3B">
        <w:t xml:space="preserve">Źródło: </w:t>
      </w:r>
      <w:r>
        <w:t>opracowanie własne na podstawie danych Powiatowego Urzędu Pracy w Przeworsku</w:t>
      </w:r>
    </w:p>
    <w:p w:rsidR="00147768" w:rsidRDefault="00147768" w:rsidP="00147768">
      <w:pPr>
        <w:pStyle w:val="Bezodstpw"/>
        <w:numPr>
          <w:ilvl w:val="0"/>
          <w:numId w:val="2"/>
        </w:numPr>
      </w:pPr>
      <w:r w:rsidRPr="00147768">
        <w:lastRenderedPageBreak/>
        <w:t>Udział bezrobotnych zarejestrowanych w liczbie ludności w wieku produkcyjnym wg miejsca zamieszkania</w:t>
      </w:r>
    </w:p>
    <w:p w:rsidR="00EE75DB" w:rsidRDefault="00EE75DB" w:rsidP="00EE75DB">
      <w:pPr>
        <w:pStyle w:val="Bezodstpw"/>
      </w:pPr>
    </w:p>
    <w:p w:rsidR="00EE75DB" w:rsidRDefault="00EE75DB" w:rsidP="00EE75DB">
      <w:pPr>
        <w:pStyle w:val="Legenda"/>
        <w:jc w:val="both"/>
      </w:pPr>
      <w:bookmarkStart w:id="93" w:name="_Toc495887809"/>
      <w:r>
        <w:t xml:space="preserve">Tabela </w:t>
      </w:r>
      <w:r w:rsidR="00172343">
        <w:fldChar w:fldCharType="begin"/>
      </w:r>
      <w:r w:rsidR="00172343">
        <w:instrText xml:space="preserve"> SEQ Tabela \* ARABIC </w:instrText>
      </w:r>
      <w:r w:rsidR="00172343">
        <w:fldChar w:fldCharType="separate"/>
      </w:r>
      <w:r w:rsidR="00D67FEC">
        <w:rPr>
          <w:noProof/>
        </w:rPr>
        <w:t>20</w:t>
      </w:r>
      <w:r w:rsidR="00172343">
        <w:rPr>
          <w:noProof/>
        </w:rPr>
        <w:fldChar w:fldCharType="end"/>
      </w:r>
      <w:r>
        <w:t xml:space="preserve"> Wskaźnik referencyjny oraz wskaźnik „</w:t>
      </w:r>
      <w:r w:rsidRPr="00EE75DB">
        <w:t>Udział bezrobotnych zarejestrowanych w liczbie ludności w wieku produkcyjnym wg miejsca zamieszkania</w:t>
      </w:r>
      <w:r>
        <w:t>” dla poszczególnych miejscowości</w:t>
      </w:r>
      <w:bookmarkEnd w:id="93"/>
    </w:p>
    <w:tbl>
      <w:tblPr>
        <w:tblW w:w="10129" w:type="dxa"/>
        <w:jc w:val="center"/>
        <w:tblLayout w:type="fixed"/>
        <w:tblCellMar>
          <w:left w:w="70" w:type="dxa"/>
          <w:right w:w="70" w:type="dxa"/>
        </w:tblCellMar>
        <w:tblLook w:val="04A0" w:firstRow="1" w:lastRow="0" w:firstColumn="1" w:lastColumn="0" w:noHBand="0" w:noVBand="1"/>
      </w:tblPr>
      <w:tblGrid>
        <w:gridCol w:w="316"/>
        <w:gridCol w:w="317"/>
        <w:gridCol w:w="316"/>
        <w:gridCol w:w="317"/>
        <w:gridCol w:w="316"/>
        <w:gridCol w:w="317"/>
        <w:gridCol w:w="316"/>
        <w:gridCol w:w="317"/>
        <w:gridCol w:w="316"/>
        <w:gridCol w:w="317"/>
        <w:gridCol w:w="316"/>
        <w:gridCol w:w="317"/>
        <w:gridCol w:w="316"/>
        <w:gridCol w:w="317"/>
        <w:gridCol w:w="316"/>
        <w:gridCol w:w="317"/>
        <w:gridCol w:w="317"/>
        <w:gridCol w:w="316"/>
        <w:gridCol w:w="317"/>
        <w:gridCol w:w="316"/>
        <w:gridCol w:w="317"/>
        <w:gridCol w:w="316"/>
        <w:gridCol w:w="317"/>
        <w:gridCol w:w="316"/>
        <w:gridCol w:w="317"/>
        <w:gridCol w:w="316"/>
        <w:gridCol w:w="317"/>
        <w:gridCol w:w="316"/>
        <w:gridCol w:w="317"/>
        <w:gridCol w:w="316"/>
        <w:gridCol w:w="317"/>
        <w:gridCol w:w="317"/>
      </w:tblGrid>
      <w:tr w:rsidR="00EE75DB" w:rsidRPr="00D164AF" w:rsidTr="009A08A9">
        <w:trPr>
          <w:trHeight w:val="2891"/>
          <w:jc w:val="center"/>
        </w:trPr>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EE75DB" w:rsidRPr="00D164AF" w:rsidRDefault="00EE75DB" w:rsidP="009A08A9">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dane referencyjne 2014</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EE75DB" w:rsidRPr="00D164AF" w:rsidRDefault="00EE75DB" w:rsidP="009A08A9">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POWIAT PRZEWORSKI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(ogółem)</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(mężczyźni)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(kobiety)</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(ogółem)</w:t>
            </w:r>
          </w:p>
        </w:tc>
        <w:tc>
          <w:tcPr>
            <w:tcW w:w="316"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(mężczyźni)</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(kobiety)</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(ogółem)</w:t>
            </w:r>
          </w:p>
        </w:tc>
        <w:tc>
          <w:tcPr>
            <w:tcW w:w="317"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(mężczyźni)</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(kobiety)</w:t>
            </w:r>
          </w:p>
        </w:tc>
        <w:tc>
          <w:tcPr>
            <w:tcW w:w="316"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(ogółem)</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(mężczyźni)</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(kobiety)</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(ogółem)</w:t>
            </w:r>
          </w:p>
        </w:tc>
        <w:tc>
          <w:tcPr>
            <w:tcW w:w="317"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(mężczyźni)</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(kobiety)</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(ogółem)</w:t>
            </w:r>
          </w:p>
        </w:tc>
        <w:tc>
          <w:tcPr>
            <w:tcW w:w="317"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(mężczyźni)</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(kobiety)</w:t>
            </w:r>
          </w:p>
        </w:tc>
        <w:tc>
          <w:tcPr>
            <w:tcW w:w="316"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(ogółem)</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(mężczyźni)</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EE75DB" w:rsidRPr="00D164AF" w:rsidRDefault="00EE75DB"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(kobiety)</w:t>
            </w:r>
          </w:p>
        </w:tc>
      </w:tr>
      <w:tr w:rsidR="00EE75DB" w:rsidRPr="00D164AF" w:rsidTr="009A08A9">
        <w:trPr>
          <w:trHeight w:val="630"/>
          <w:jc w:val="center"/>
        </w:trPr>
        <w:tc>
          <w:tcPr>
            <w:tcW w:w="316"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sz w:val="18"/>
                <w:szCs w:val="18"/>
              </w:rPr>
            </w:pPr>
            <w:r>
              <w:rPr>
                <w:rFonts w:ascii="Calibri" w:hAnsi="Calibri" w:cs="Calibri"/>
                <w:sz w:val="18"/>
                <w:szCs w:val="18"/>
              </w:rPr>
              <w:t>10,20%</w:t>
            </w:r>
          </w:p>
        </w:tc>
        <w:tc>
          <w:tcPr>
            <w:tcW w:w="317"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11,39%</w:t>
            </w:r>
          </w:p>
        </w:tc>
        <w:tc>
          <w:tcPr>
            <w:tcW w:w="316"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12,60%</w:t>
            </w:r>
          </w:p>
        </w:tc>
        <w:tc>
          <w:tcPr>
            <w:tcW w:w="317"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11,60%</w:t>
            </w:r>
          </w:p>
        </w:tc>
        <w:tc>
          <w:tcPr>
            <w:tcW w:w="316"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13,80%</w:t>
            </w:r>
          </w:p>
        </w:tc>
        <w:tc>
          <w:tcPr>
            <w:tcW w:w="317" w:type="dxa"/>
            <w:tcBorders>
              <w:top w:val="nil"/>
              <w:left w:val="nil"/>
              <w:bottom w:val="single" w:sz="4" w:space="0" w:color="auto"/>
              <w:right w:val="single" w:sz="4" w:space="0" w:color="auto"/>
            </w:tcBorders>
            <w:shd w:val="clear" w:color="000000" w:fill="FDE9D9"/>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12,43%</w:t>
            </w:r>
          </w:p>
        </w:tc>
        <w:tc>
          <w:tcPr>
            <w:tcW w:w="316" w:type="dxa"/>
            <w:tcBorders>
              <w:top w:val="nil"/>
              <w:left w:val="nil"/>
              <w:bottom w:val="single" w:sz="4" w:space="0" w:color="auto"/>
              <w:right w:val="single" w:sz="4" w:space="0" w:color="auto"/>
            </w:tcBorders>
            <w:shd w:val="clear" w:color="000000" w:fill="FDE9D9"/>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10,83%</w:t>
            </w:r>
          </w:p>
        </w:tc>
        <w:tc>
          <w:tcPr>
            <w:tcW w:w="317" w:type="dxa"/>
            <w:tcBorders>
              <w:top w:val="nil"/>
              <w:left w:val="nil"/>
              <w:bottom w:val="single" w:sz="4" w:space="0" w:color="auto"/>
              <w:right w:val="single" w:sz="4" w:space="0" w:color="auto"/>
            </w:tcBorders>
            <w:shd w:val="clear" w:color="000000" w:fill="FDE9D9"/>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14,37%</w:t>
            </w:r>
          </w:p>
        </w:tc>
        <w:tc>
          <w:tcPr>
            <w:tcW w:w="316" w:type="dxa"/>
            <w:tcBorders>
              <w:top w:val="nil"/>
              <w:left w:val="nil"/>
              <w:bottom w:val="single" w:sz="4" w:space="0" w:color="auto"/>
              <w:right w:val="single" w:sz="4" w:space="0" w:color="auto"/>
            </w:tcBorders>
            <w:shd w:val="clear" w:color="000000" w:fill="DAEEF3"/>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12,97%</w:t>
            </w:r>
          </w:p>
        </w:tc>
        <w:tc>
          <w:tcPr>
            <w:tcW w:w="317" w:type="dxa"/>
            <w:tcBorders>
              <w:top w:val="nil"/>
              <w:left w:val="nil"/>
              <w:bottom w:val="single" w:sz="4" w:space="0" w:color="auto"/>
              <w:right w:val="single" w:sz="4" w:space="0" w:color="auto"/>
            </w:tcBorders>
            <w:shd w:val="clear" w:color="000000" w:fill="DAEEF3"/>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12,72%</w:t>
            </w:r>
          </w:p>
        </w:tc>
        <w:tc>
          <w:tcPr>
            <w:tcW w:w="316" w:type="dxa"/>
            <w:tcBorders>
              <w:top w:val="nil"/>
              <w:left w:val="nil"/>
              <w:bottom w:val="single" w:sz="4" w:space="0" w:color="auto"/>
              <w:right w:val="single" w:sz="4" w:space="0" w:color="auto"/>
            </w:tcBorders>
            <w:shd w:val="clear" w:color="000000" w:fill="DAEEF3"/>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13,28%</w:t>
            </w:r>
          </w:p>
        </w:tc>
        <w:tc>
          <w:tcPr>
            <w:tcW w:w="317"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11,38%</w:t>
            </w:r>
          </w:p>
        </w:tc>
        <w:tc>
          <w:tcPr>
            <w:tcW w:w="316"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10,03%</w:t>
            </w:r>
          </w:p>
        </w:tc>
        <w:tc>
          <w:tcPr>
            <w:tcW w:w="317"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13,04%</w:t>
            </w:r>
          </w:p>
        </w:tc>
        <w:tc>
          <w:tcPr>
            <w:tcW w:w="316" w:type="dxa"/>
            <w:tcBorders>
              <w:top w:val="nil"/>
              <w:left w:val="nil"/>
              <w:bottom w:val="single" w:sz="4" w:space="0" w:color="auto"/>
              <w:right w:val="single" w:sz="4" w:space="0" w:color="auto"/>
            </w:tcBorders>
            <w:shd w:val="clear" w:color="000000" w:fill="E4DFEC"/>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11,26%</w:t>
            </w:r>
          </w:p>
        </w:tc>
        <w:tc>
          <w:tcPr>
            <w:tcW w:w="317" w:type="dxa"/>
            <w:tcBorders>
              <w:top w:val="nil"/>
              <w:left w:val="nil"/>
              <w:bottom w:val="single" w:sz="4" w:space="0" w:color="auto"/>
              <w:right w:val="single" w:sz="4" w:space="0" w:color="auto"/>
            </w:tcBorders>
            <w:shd w:val="clear" w:color="000000" w:fill="E4DFEC"/>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9,51%</w:t>
            </w:r>
          </w:p>
        </w:tc>
        <w:tc>
          <w:tcPr>
            <w:tcW w:w="317" w:type="dxa"/>
            <w:tcBorders>
              <w:top w:val="nil"/>
              <w:left w:val="nil"/>
              <w:bottom w:val="single" w:sz="4" w:space="0" w:color="auto"/>
              <w:right w:val="single" w:sz="4" w:space="0" w:color="auto"/>
            </w:tcBorders>
            <w:shd w:val="clear" w:color="000000" w:fill="E4DFEC"/>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13,40%</w:t>
            </w:r>
          </w:p>
        </w:tc>
        <w:tc>
          <w:tcPr>
            <w:tcW w:w="316" w:type="dxa"/>
            <w:tcBorders>
              <w:top w:val="nil"/>
              <w:left w:val="nil"/>
              <w:bottom w:val="single" w:sz="4" w:space="0" w:color="auto"/>
              <w:right w:val="single" w:sz="4" w:space="0" w:color="auto"/>
            </w:tcBorders>
            <w:shd w:val="clear" w:color="000000" w:fill="EBF1DE"/>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15,64%</w:t>
            </w:r>
          </w:p>
        </w:tc>
        <w:tc>
          <w:tcPr>
            <w:tcW w:w="317" w:type="dxa"/>
            <w:tcBorders>
              <w:top w:val="nil"/>
              <w:left w:val="nil"/>
              <w:bottom w:val="single" w:sz="4" w:space="0" w:color="auto"/>
              <w:right w:val="single" w:sz="4" w:space="0" w:color="auto"/>
            </w:tcBorders>
            <w:shd w:val="clear" w:color="000000" w:fill="EBF1DE"/>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15,54%</w:t>
            </w:r>
          </w:p>
        </w:tc>
        <w:tc>
          <w:tcPr>
            <w:tcW w:w="316" w:type="dxa"/>
            <w:tcBorders>
              <w:top w:val="nil"/>
              <w:left w:val="nil"/>
              <w:bottom w:val="single" w:sz="4" w:space="0" w:color="auto"/>
              <w:right w:val="single" w:sz="4" w:space="0" w:color="auto"/>
            </w:tcBorders>
            <w:shd w:val="clear" w:color="000000" w:fill="EBF1DE"/>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15,76%</w:t>
            </w:r>
          </w:p>
        </w:tc>
        <w:tc>
          <w:tcPr>
            <w:tcW w:w="317"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13,69%</w:t>
            </w:r>
          </w:p>
        </w:tc>
        <w:tc>
          <w:tcPr>
            <w:tcW w:w="316"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11,81%</w:t>
            </w:r>
          </w:p>
        </w:tc>
        <w:tc>
          <w:tcPr>
            <w:tcW w:w="317"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15,99%</w:t>
            </w:r>
          </w:p>
        </w:tc>
        <w:tc>
          <w:tcPr>
            <w:tcW w:w="316" w:type="dxa"/>
            <w:tcBorders>
              <w:top w:val="nil"/>
              <w:left w:val="nil"/>
              <w:bottom w:val="single" w:sz="4" w:space="0" w:color="auto"/>
              <w:right w:val="single" w:sz="4" w:space="0" w:color="auto"/>
            </w:tcBorders>
            <w:shd w:val="clear" w:color="000000" w:fill="C5D9F1"/>
            <w:noWrap/>
            <w:textDirection w:val="btLr"/>
            <w:hideMark/>
          </w:tcPr>
          <w:p w:rsidR="00EE75DB" w:rsidRDefault="00EE75DB">
            <w:pPr>
              <w:jc w:val="right"/>
              <w:rPr>
                <w:rFonts w:ascii="Calibri" w:hAnsi="Calibri" w:cs="Calibri"/>
                <w:sz w:val="18"/>
                <w:szCs w:val="18"/>
              </w:rPr>
            </w:pPr>
            <w:r>
              <w:rPr>
                <w:rFonts w:ascii="Calibri" w:hAnsi="Calibri" w:cs="Calibri"/>
                <w:sz w:val="18"/>
                <w:szCs w:val="18"/>
              </w:rPr>
              <w:t>9,28%</w:t>
            </w:r>
          </w:p>
        </w:tc>
        <w:tc>
          <w:tcPr>
            <w:tcW w:w="317" w:type="dxa"/>
            <w:tcBorders>
              <w:top w:val="nil"/>
              <w:left w:val="nil"/>
              <w:bottom w:val="single" w:sz="4" w:space="0" w:color="auto"/>
              <w:right w:val="single" w:sz="4" w:space="0" w:color="auto"/>
            </w:tcBorders>
            <w:shd w:val="clear" w:color="000000" w:fill="C5D9F1"/>
            <w:noWrap/>
            <w:textDirection w:val="btLr"/>
            <w:hideMark/>
          </w:tcPr>
          <w:p w:rsidR="00EE75DB" w:rsidRDefault="00EE75DB">
            <w:pPr>
              <w:jc w:val="right"/>
              <w:rPr>
                <w:rFonts w:ascii="Calibri" w:hAnsi="Calibri" w:cs="Calibri"/>
                <w:sz w:val="18"/>
                <w:szCs w:val="18"/>
              </w:rPr>
            </w:pPr>
            <w:r>
              <w:rPr>
                <w:rFonts w:ascii="Calibri" w:hAnsi="Calibri" w:cs="Calibri"/>
                <w:sz w:val="18"/>
                <w:szCs w:val="18"/>
              </w:rPr>
              <w:t>8,84%</w:t>
            </w:r>
          </w:p>
        </w:tc>
        <w:tc>
          <w:tcPr>
            <w:tcW w:w="316" w:type="dxa"/>
            <w:tcBorders>
              <w:top w:val="nil"/>
              <w:left w:val="nil"/>
              <w:bottom w:val="single" w:sz="4" w:space="0" w:color="auto"/>
              <w:right w:val="single" w:sz="4" w:space="0" w:color="auto"/>
            </w:tcBorders>
            <w:shd w:val="clear" w:color="000000" w:fill="C5D9F1"/>
            <w:noWrap/>
            <w:textDirection w:val="btLr"/>
            <w:hideMark/>
          </w:tcPr>
          <w:p w:rsidR="00EE75DB" w:rsidRDefault="00EE75DB">
            <w:pPr>
              <w:jc w:val="right"/>
              <w:rPr>
                <w:rFonts w:ascii="Calibri" w:hAnsi="Calibri" w:cs="Calibri"/>
                <w:sz w:val="18"/>
                <w:szCs w:val="18"/>
              </w:rPr>
            </w:pPr>
            <w:r>
              <w:rPr>
                <w:rFonts w:ascii="Calibri" w:hAnsi="Calibri" w:cs="Calibri"/>
                <w:sz w:val="18"/>
                <w:szCs w:val="18"/>
              </w:rPr>
              <w:t>9,82%</w:t>
            </w:r>
          </w:p>
        </w:tc>
        <w:tc>
          <w:tcPr>
            <w:tcW w:w="317"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13,94%</w:t>
            </w:r>
          </w:p>
        </w:tc>
        <w:tc>
          <w:tcPr>
            <w:tcW w:w="316"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11,29%</w:t>
            </w:r>
          </w:p>
        </w:tc>
        <w:tc>
          <w:tcPr>
            <w:tcW w:w="317" w:type="dxa"/>
            <w:tcBorders>
              <w:top w:val="nil"/>
              <w:left w:val="nil"/>
              <w:bottom w:val="single" w:sz="4" w:space="0" w:color="auto"/>
              <w:right w:val="single" w:sz="4" w:space="0" w:color="auto"/>
            </w:tcBorders>
            <w:shd w:val="clear" w:color="auto" w:fill="auto"/>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17,16%</w:t>
            </w:r>
          </w:p>
        </w:tc>
        <w:tc>
          <w:tcPr>
            <w:tcW w:w="316" w:type="dxa"/>
            <w:tcBorders>
              <w:top w:val="nil"/>
              <w:left w:val="nil"/>
              <w:bottom w:val="single" w:sz="4" w:space="0" w:color="auto"/>
              <w:right w:val="single" w:sz="4" w:space="0" w:color="auto"/>
            </w:tcBorders>
            <w:shd w:val="clear" w:color="000000" w:fill="DDD9C4"/>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11,47%</w:t>
            </w:r>
          </w:p>
        </w:tc>
        <w:tc>
          <w:tcPr>
            <w:tcW w:w="317" w:type="dxa"/>
            <w:tcBorders>
              <w:top w:val="nil"/>
              <w:left w:val="nil"/>
              <w:bottom w:val="single" w:sz="4" w:space="0" w:color="auto"/>
              <w:right w:val="single" w:sz="4" w:space="0" w:color="auto"/>
            </w:tcBorders>
            <w:shd w:val="clear" w:color="000000" w:fill="DDD9C4"/>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9,95%</w:t>
            </w:r>
          </w:p>
        </w:tc>
        <w:tc>
          <w:tcPr>
            <w:tcW w:w="317" w:type="dxa"/>
            <w:tcBorders>
              <w:top w:val="nil"/>
              <w:left w:val="nil"/>
              <w:bottom w:val="single" w:sz="4" w:space="0" w:color="auto"/>
              <w:right w:val="single" w:sz="4" w:space="0" w:color="auto"/>
            </w:tcBorders>
            <w:shd w:val="clear" w:color="000000" w:fill="DDD9C4"/>
            <w:noWrap/>
            <w:textDirection w:val="btLr"/>
            <w:hideMark/>
          </w:tcPr>
          <w:p w:rsidR="00EE75DB" w:rsidRDefault="00EE75DB">
            <w:pPr>
              <w:jc w:val="right"/>
              <w:rPr>
                <w:rFonts w:ascii="Calibri" w:hAnsi="Calibri" w:cs="Calibri"/>
                <w:color w:val="FF0000"/>
                <w:sz w:val="18"/>
                <w:szCs w:val="18"/>
              </w:rPr>
            </w:pPr>
            <w:r>
              <w:rPr>
                <w:rFonts w:ascii="Calibri" w:hAnsi="Calibri" w:cs="Calibri"/>
                <w:color w:val="FF0000"/>
                <w:sz w:val="18"/>
                <w:szCs w:val="18"/>
              </w:rPr>
              <w:t>13,31%</w:t>
            </w:r>
          </w:p>
        </w:tc>
      </w:tr>
    </w:tbl>
    <w:p w:rsidR="00EE75DB" w:rsidRDefault="00EE75DB" w:rsidP="00EE75DB">
      <w:pPr>
        <w:pStyle w:val="Legenda"/>
        <w:spacing w:line="276" w:lineRule="auto"/>
      </w:pPr>
      <w:r w:rsidRPr="00FB4E3B">
        <w:t xml:space="preserve">Źródło: </w:t>
      </w:r>
      <w:r>
        <w:t>opracowanie własne na podstawie danych Powiatowego Urzędu Pracy w Przeworsku</w:t>
      </w:r>
      <w:r w:rsidR="00763DD6">
        <w:t xml:space="preserve"> – dane za 2014 rok</w:t>
      </w:r>
    </w:p>
    <w:p w:rsidR="00EE75DB" w:rsidRDefault="00EE75DB" w:rsidP="00EE75DB">
      <w:pPr>
        <w:pStyle w:val="Bezodstpw"/>
      </w:pPr>
    </w:p>
    <w:p w:rsidR="00EE75DB" w:rsidRDefault="00EE75DB" w:rsidP="00EE75DB">
      <w:pPr>
        <w:pStyle w:val="Bezodstpw"/>
      </w:pPr>
      <w:r>
        <w:rPr>
          <w:noProof/>
          <w:lang w:eastAsia="pl-PL"/>
        </w:rPr>
        <w:drawing>
          <wp:anchor distT="0" distB="0" distL="114300" distR="114300" simplePos="0" relativeHeight="251662336" behindDoc="1" locked="0" layoutInCell="1" allowOverlap="1" wp14:anchorId="7BF2F9B6" wp14:editId="3362C177">
            <wp:simplePos x="0" y="0"/>
            <wp:positionH relativeFrom="column">
              <wp:posOffset>2119630</wp:posOffset>
            </wp:positionH>
            <wp:positionV relativeFrom="paragraph">
              <wp:posOffset>3810</wp:posOffset>
            </wp:positionV>
            <wp:extent cx="3773805" cy="4400550"/>
            <wp:effectExtent l="0" t="0" r="0" b="0"/>
            <wp:wrapTight wrapText="bothSides">
              <wp:wrapPolygon edited="0">
                <wp:start x="0" y="0"/>
                <wp:lineTo x="0" y="21506"/>
                <wp:lineTo x="21480" y="21506"/>
                <wp:lineTo x="21480"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73805" cy="440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5DB" w:rsidRDefault="00EE75DB" w:rsidP="00EE75DB">
      <w:pPr>
        <w:pStyle w:val="Legenda"/>
      </w:pPr>
      <w:bookmarkStart w:id="94" w:name="_Toc495887784"/>
      <w:r>
        <w:t xml:space="preserve">Mapa </w:t>
      </w:r>
      <w:r w:rsidR="00172343">
        <w:fldChar w:fldCharType="begin"/>
      </w:r>
      <w:r w:rsidR="00172343">
        <w:instrText xml:space="preserve"> SEQ Mapa \* ARABIC </w:instrText>
      </w:r>
      <w:r w:rsidR="00172343">
        <w:fldChar w:fldCharType="separate"/>
      </w:r>
      <w:r w:rsidR="00883893">
        <w:rPr>
          <w:noProof/>
        </w:rPr>
        <w:t>8</w:t>
      </w:r>
      <w:r w:rsidR="00172343">
        <w:rPr>
          <w:noProof/>
        </w:rPr>
        <w:fldChar w:fldCharType="end"/>
      </w:r>
      <w:r>
        <w:t xml:space="preserve"> „</w:t>
      </w:r>
      <w:r w:rsidRPr="00EE75DB">
        <w:t>Udział bezrobotnych zarejestrowanych w liczbie ludności w wieku produkcyjnym wg miejsca zamieszkania</w:t>
      </w:r>
      <w:r>
        <w:t>” dla poszczególnych miejscowości</w:t>
      </w:r>
      <w:bookmarkEnd w:id="94"/>
    </w:p>
    <w:p w:rsidR="00EE75DB" w:rsidRDefault="00EE75DB" w:rsidP="00EE75DB">
      <w:pPr>
        <w:pStyle w:val="Bezodstpw"/>
      </w:pPr>
    </w:p>
    <w:p w:rsidR="00EE75DB" w:rsidRDefault="00EE75DB" w:rsidP="00EE75DB">
      <w:pPr>
        <w:pStyle w:val="Bezodstpw"/>
      </w:pPr>
    </w:p>
    <w:p w:rsidR="00EE75DB" w:rsidRDefault="00EE75DB" w:rsidP="00EE75DB">
      <w:pPr>
        <w:pStyle w:val="Bezodstpw"/>
      </w:pPr>
    </w:p>
    <w:p w:rsidR="00EE75DB" w:rsidRDefault="00EE75DB" w:rsidP="00EE75DB">
      <w:pPr>
        <w:pStyle w:val="Bezodstpw"/>
      </w:pPr>
    </w:p>
    <w:p w:rsidR="00EE75DB" w:rsidRDefault="00EE75DB" w:rsidP="00EE75DB">
      <w:pPr>
        <w:pStyle w:val="Bezodstpw"/>
      </w:pPr>
    </w:p>
    <w:p w:rsidR="00EE75DB" w:rsidRDefault="00EE75DB" w:rsidP="00EE75DB">
      <w:pPr>
        <w:pStyle w:val="Bezodstpw"/>
      </w:pPr>
    </w:p>
    <w:p w:rsidR="00EE75DB" w:rsidRDefault="00EE75DB" w:rsidP="00EE75DB">
      <w:pPr>
        <w:pStyle w:val="Bezodstpw"/>
      </w:pPr>
    </w:p>
    <w:p w:rsidR="00EE75DB" w:rsidRDefault="00EE75DB" w:rsidP="00EE75DB">
      <w:pPr>
        <w:pStyle w:val="Bezodstpw"/>
      </w:pPr>
    </w:p>
    <w:p w:rsidR="00EE75DB" w:rsidRDefault="00EE75DB" w:rsidP="00EE75DB">
      <w:pPr>
        <w:pStyle w:val="Bezodstpw"/>
      </w:pPr>
    </w:p>
    <w:p w:rsidR="00EE75DB" w:rsidRDefault="00EE75DB" w:rsidP="00EE75DB">
      <w:pPr>
        <w:pStyle w:val="Bezodstpw"/>
      </w:pPr>
    </w:p>
    <w:p w:rsidR="00EE75DB" w:rsidRDefault="00EE75DB" w:rsidP="00EE75DB">
      <w:pPr>
        <w:pStyle w:val="Bezodstpw"/>
      </w:pPr>
    </w:p>
    <w:p w:rsidR="00EE75DB" w:rsidRDefault="00EE75DB" w:rsidP="00EE75DB">
      <w:pPr>
        <w:pStyle w:val="Bezodstpw"/>
      </w:pPr>
    </w:p>
    <w:p w:rsidR="00EE75DB" w:rsidRDefault="00EE75DB" w:rsidP="00EE75DB">
      <w:pPr>
        <w:pStyle w:val="Bezodstpw"/>
      </w:pPr>
    </w:p>
    <w:p w:rsidR="00EE75DB" w:rsidRDefault="00EE75DB" w:rsidP="00EE75DB">
      <w:pPr>
        <w:pStyle w:val="Bezodstpw"/>
      </w:pPr>
    </w:p>
    <w:p w:rsidR="00EE75DB" w:rsidRDefault="00EE75DB" w:rsidP="00EE75DB">
      <w:pPr>
        <w:pStyle w:val="Bezodstpw"/>
      </w:pPr>
    </w:p>
    <w:p w:rsidR="00EE75DB" w:rsidRDefault="00EE75DB" w:rsidP="00EE75DB">
      <w:pPr>
        <w:pStyle w:val="Bezodstpw"/>
      </w:pPr>
    </w:p>
    <w:p w:rsidR="00EE75DB" w:rsidRDefault="00EE75DB" w:rsidP="00EE75DB">
      <w:pPr>
        <w:pStyle w:val="Bezodstpw"/>
      </w:pPr>
    </w:p>
    <w:p w:rsidR="00EE75DB" w:rsidRDefault="00EE75DB" w:rsidP="00EE75DB">
      <w:pPr>
        <w:pStyle w:val="Bezodstpw"/>
      </w:pPr>
    </w:p>
    <w:p w:rsidR="00EE75DB" w:rsidRDefault="00EE75DB" w:rsidP="00EE75DB">
      <w:pPr>
        <w:pStyle w:val="Bezodstpw"/>
      </w:pPr>
    </w:p>
    <w:p w:rsidR="00EE75DB" w:rsidRDefault="00EE75DB" w:rsidP="00EE75DB">
      <w:pPr>
        <w:pStyle w:val="Bezodstpw"/>
      </w:pPr>
    </w:p>
    <w:p w:rsidR="00EE75DB" w:rsidRDefault="00EE75DB" w:rsidP="00EE75DB">
      <w:pPr>
        <w:pStyle w:val="Bezodstpw"/>
      </w:pPr>
    </w:p>
    <w:p w:rsidR="00EE75DB" w:rsidRDefault="00EE75DB" w:rsidP="00EE75DB">
      <w:pPr>
        <w:pStyle w:val="Legenda"/>
        <w:spacing w:line="276" w:lineRule="auto"/>
      </w:pPr>
      <w:r w:rsidRPr="00FB4E3B">
        <w:t xml:space="preserve">Źródło: </w:t>
      </w:r>
      <w:r>
        <w:t>opracowanie własne na podstawie danych Powiatowego Urzędu Pracy w Przeworsku</w:t>
      </w:r>
    </w:p>
    <w:p w:rsidR="00EE75DB" w:rsidRDefault="00EE75DB" w:rsidP="00EE75DB">
      <w:pPr>
        <w:pStyle w:val="Bezodstpw"/>
      </w:pPr>
    </w:p>
    <w:p w:rsidR="00EE75DB" w:rsidRDefault="00EE75DB" w:rsidP="00EE75DB">
      <w:pPr>
        <w:pStyle w:val="Bezodstpw"/>
      </w:pPr>
    </w:p>
    <w:p w:rsidR="00147768" w:rsidRDefault="00147768" w:rsidP="00147768">
      <w:pPr>
        <w:pStyle w:val="Bezodstpw"/>
        <w:numPr>
          <w:ilvl w:val="0"/>
          <w:numId w:val="2"/>
        </w:numPr>
      </w:pPr>
      <w:r>
        <w:lastRenderedPageBreak/>
        <w:t xml:space="preserve">Stopa bezrobocia rejestrowanego </w:t>
      </w:r>
    </w:p>
    <w:p w:rsidR="00EE75DB" w:rsidRDefault="00EE75DB" w:rsidP="00EE75DB">
      <w:pPr>
        <w:pStyle w:val="Bezodstpw"/>
      </w:pPr>
    </w:p>
    <w:p w:rsidR="00EE75DB" w:rsidRDefault="007C69E8" w:rsidP="00763DD6">
      <w:pPr>
        <w:pStyle w:val="Bezodstpw"/>
        <w:spacing w:line="276" w:lineRule="auto"/>
        <w:ind w:firstLine="360"/>
        <w:jc w:val="both"/>
      </w:pPr>
      <w:r>
        <w:t>Zgodnie z metodologią przedstawioną w Instrukcji „</w:t>
      </w:r>
      <w:r w:rsidRPr="007C69E8">
        <w:t>Stopę bezrobocia rejestrowanego oblicza się jako stosunek liczby bezrobotnych zarejestrowanych do liczby cywilnej ludności aktywnej zawodowo (ogółem oraz danej grupy), tj. bez osób odbywających czynną służbę wojskową oraz pracowników jednostek budżetowych prowadzących działalność w zakresie obrony narodowej i bezpieczeństwa publicznego. Stopę bezrobocia podaje się z uwzględnieniem pracujących w gospodarstwach indywidualnych w rolnictwie (będących składową cywilnej ludności aktywnej zawodowo).</w:t>
      </w:r>
    </w:p>
    <w:p w:rsidR="007C69E8" w:rsidRDefault="007C69E8" w:rsidP="007C69E8">
      <w:pPr>
        <w:pStyle w:val="Bezodstpw"/>
        <w:ind w:firstLine="360"/>
        <w:jc w:val="both"/>
      </w:pPr>
    </w:p>
    <w:p w:rsidR="007C69E8" w:rsidRDefault="007C69E8" w:rsidP="007C69E8">
      <w:pPr>
        <w:pStyle w:val="Bezodstpw"/>
        <w:ind w:firstLine="360"/>
        <w:jc w:val="both"/>
      </w:pPr>
      <w:r>
        <w:t>Ze względu na brak danych dotyczących tego wskaźnika w podziale na miejscowości, w delimitacji obszaru nie wzięto pod uwagę stopy bezrobocia rejestrowanego, która dla całego powiatu przeworskiego wynosi 17,50% podczas gdy dane referencyjne dla województwa wynoszą 14,60%. Można więc przyjąć, że stopa bezrobocia rejestrowanego w całej gminie Tryńcza jest wyższa niż średnia referencyjna dla województwa.</w:t>
      </w:r>
    </w:p>
    <w:p w:rsidR="007C69E8" w:rsidRDefault="007C69E8" w:rsidP="007C69E8">
      <w:pPr>
        <w:pStyle w:val="Bezodstpw"/>
        <w:ind w:firstLine="360"/>
        <w:jc w:val="both"/>
      </w:pPr>
    </w:p>
    <w:p w:rsidR="007C69E8" w:rsidRDefault="007C69E8" w:rsidP="007C69E8">
      <w:pPr>
        <w:ind w:firstLine="360"/>
        <w:jc w:val="both"/>
      </w:pPr>
      <w:r>
        <w:t>Podsumowując, pomijając wskaźnik 7, w kategorii rynek pracy następujące miejscowości spełniają wymagane minimum: Głogowiec, Ubieszyn, Tryńcza, Wólka Małkowa, Wólka Ogryzkowa, Gorzyce, Gniewczyna Tryniecka, Gniewczyna Łańcucka i Jagiełła (tzn. wszystkie miejscowości gminne).</w:t>
      </w:r>
    </w:p>
    <w:p w:rsidR="00EE75DB" w:rsidRDefault="00EE75DB" w:rsidP="00EE75DB">
      <w:pPr>
        <w:pStyle w:val="Bezodstpw"/>
      </w:pPr>
    </w:p>
    <w:p w:rsidR="00EE75DB" w:rsidRDefault="007C69E8" w:rsidP="007C69E8">
      <w:pPr>
        <w:pStyle w:val="Nagwek2"/>
      </w:pPr>
      <w:bookmarkStart w:id="95" w:name="_Toc496558081"/>
      <w:r>
        <w:t>Kategoria: pomoc społeczna</w:t>
      </w:r>
      <w:bookmarkEnd w:id="95"/>
    </w:p>
    <w:p w:rsidR="00EE75DB" w:rsidRDefault="00EE75DB" w:rsidP="00EE75DB">
      <w:pPr>
        <w:pStyle w:val="Bezodstpw"/>
      </w:pPr>
    </w:p>
    <w:p w:rsidR="007C69E8" w:rsidRDefault="007C69E8" w:rsidP="007C69E8">
      <w:pPr>
        <w:jc w:val="both"/>
      </w:pPr>
      <w:r>
        <w:t xml:space="preserve">Zgodnie z </w:t>
      </w:r>
      <w:r w:rsidRPr="007C3562">
        <w:rPr>
          <w:i/>
        </w:rPr>
        <w:t xml:space="preserve">Instrukcją </w:t>
      </w:r>
      <w:r>
        <w:t xml:space="preserve">w kategorii pomoc społeczna określono następujące wskaźniki: </w:t>
      </w:r>
    </w:p>
    <w:p w:rsidR="007C69E8" w:rsidRDefault="007C69E8" w:rsidP="007C69E8">
      <w:pPr>
        <w:pStyle w:val="Bezodstpw"/>
        <w:numPr>
          <w:ilvl w:val="0"/>
          <w:numId w:val="2"/>
        </w:numPr>
      </w:pPr>
      <w:r w:rsidRPr="007C69E8">
        <w:t>Liczba osób korzystających ze świadczeń pomocy społecznej w przeliczeniu na 100 osób wg miejsca zamieszkania</w:t>
      </w:r>
    </w:p>
    <w:p w:rsidR="007C69E8" w:rsidRDefault="007C69E8" w:rsidP="007C69E8">
      <w:pPr>
        <w:pStyle w:val="Bezodstpw"/>
      </w:pPr>
    </w:p>
    <w:p w:rsidR="007C69E8" w:rsidRDefault="007C69E8" w:rsidP="007C69E8">
      <w:pPr>
        <w:pStyle w:val="Legenda"/>
        <w:jc w:val="both"/>
      </w:pPr>
      <w:bookmarkStart w:id="96" w:name="_Toc495887810"/>
      <w:r>
        <w:t xml:space="preserve">Tabela </w:t>
      </w:r>
      <w:r w:rsidR="00172343">
        <w:fldChar w:fldCharType="begin"/>
      </w:r>
      <w:r w:rsidR="00172343">
        <w:instrText xml:space="preserve"> SEQ Tabela \* ARABIC </w:instrText>
      </w:r>
      <w:r w:rsidR="00172343">
        <w:fldChar w:fldCharType="separate"/>
      </w:r>
      <w:r w:rsidR="00D67FEC">
        <w:rPr>
          <w:noProof/>
        </w:rPr>
        <w:t>21</w:t>
      </w:r>
      <w:r w:rsidR="00172343">
        <w:rPr>
          <w:noProof/>
        </w:rPr>
        <w:fldChar w:fldCharType="end"/>
      </w:r>
      <w:r>
        <w:t xml:space="preserve"> Wskaźnik referencyjny oraz wskaźnik „</w:t>
      </w:r>
      <w:r w:rsidRPr="007C69E8">
        <w:t>Liczba osób korzystających ze świadczeń pomocy społecznej w przeliczeniu na 100 osób wg miejsca zamieszkania</w:t>
      </w:r>
      <w:r>
        <w:t>” dla poszczególnych miejscowości</w:t>
      </w:r>
      <w:bookmarkEnd w:id="96"/>
    </w:p>
    <w:tbl>
      <w:tblPr>
        <w:tblW w:w="10129" w:type="dxa"/>
        <w:jc w:val="center"/>
        <w:tblLayout w:type="fixed"/>
        <w:tblCellMar>
          <w:left w:w="70" w:type="dxa"/>
          <w:right w:w="70" w:type="dxa"/>
        </w:tblCellMar>
        <w:tblLook w:val="04A0" w:firstRow="1" w:lastRow="0" w:firstColumn="1" w:lastColumn="0" w:noHBand="0" w:noVBand="1"/>
      </w:tblPr>
      <w:tblGrid>
        <w:gridCol w:w="316"/>
        <w:gridCol w:w="317"/>
        <w:gridCol w:w="316"/>
        <w:gridCol w:w="317"/>
        <w:gridCol w:w="316"/>
        <w:gridCol w:w="317"/>
        <w:gridCol w:w="316"/>
        <w:gridCol w:w="317"/>
        <w:gridCol w:w="316"/>
        <w:gridCol w:w="317"/>
        <w:gridCol w:w="316"/>
        <w:gridCol w:w="317"/>
        <w:gridCol w:w="316"/>
        <w:gridCol w:w="317"/>
        <w:gridCol w:w="316"/>
        <w:gridCol w:w="317"/>
        <w:gridCol w:w="317"/>
        <w:gridCol w:w="316"/>
        <w:gridCol w:w="317"/>
        <w:gridCol w:w="316"/>
        <w:gridCol w:w="317"/>
        <w:gridCol w:w="316"/>
        <w:gridCol w:w="317"/>
        <w:gridCol w:w="316"/>
        <w:gridCol w:w="317"/>
        <w:gridCol w:w="316"/>
        <w:gridCol w:w="317"/>
        <w:gridCol w:w="316"/>
        <w:gridCol w:w="317"/>
        <w:gridCol w:w="316"/>
        <w:gridCol w:w="317"/>
        <w:gridCol w:w="317"/>
      </w:tblGrid>
      <w:tr w:rsidR="007C69E8" w:rsidRPr="00D164AF" w:rsidTr="009A08A9">
        <w:trPr>
          <w:trHeight w:val="2891"/>
          <w:jc w:val="center"/>
        </w:trPr>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7C69E8" w:rsidRPr="00D164AF" w:rsidRDefault="007C69E8" w:rsidP="009A08A9">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dane referencyjne 2014</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7C69E8" w:rsidRPr="00D164AF" w:rsidRDefault="007C69E8" w:rsidP="009A08A9">
            <w:pPr>
              <w:spacing w:after="0" w:line="240" w:lineRule="auto"/>
              <w:jc w:val="center"/>
              <w:rPr>
                <w:rFonts w:eastAsia="Times New Roman" w:cstheme="minorHAnsi"/>
                <w:color w:val="FF0000"/>
                <w:sz w:val="20"/>
                <w:szCs w:val="20"/>
                <w:lang w:eastAsia="pl-PL"/>
              </w:rPr>
            </w:pPr>
            <w:r w:rsidRPr="00D164AF">
              <w:rPr>
                <w:rFonts w:eastAsia="Times New Roman" w:cstheme="minorHAnsi"/>
                <w:color w:val="FF0000"/>
                <w:sz w:val="20"/>
                <w:szCs w:val="20"/>
                <w:lang w:eastAsia="pl-PL"/>
              </w:rPr>
              <w:t>POWIAT PRZEWORSKI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(ogółem)</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(mężczyźni)</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Gmina Tryńcza (kobiety)</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(ogółem)</w:t>
            </w:r>
          </w:p>
        </w:tc>
        <w:tc>
          <w:tcPr>
            <w:tcW w:w="316"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(mężczyźni)</w:t>
            </w:r>
          </w:p>
        </w:tc>
        <w:tc>
          <w:tcPr>
            <w:tcW w:w="317" w:type="dxa"/>
            <w:tcBorders>
              <w:top w:val="single" w:sz="4" w:space="0" w:color="auto"/>
              <w:left w:val="nil"/>
              <w:bottom w:val="single" w:sz="4" w:space="0" w:color="auto"/>
              <w:right w:val="single" w:sz="4" w:space="0" w:color="auto"/>
            </w:tcBorders>
            <w:shd w:val="clear" w:color="000000" w:fill="FDE9D9"/>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Głogowiec (kobiety)</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(ogółem)</w:t>
            </w:r>
          </w:p>
        </w:tc>
        <w:tc>
          <w:tcPr>
            <w:tcW w:w="317"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(mężczyźni)</w:t>
            </w:r>
          </w:p>
        </w:tc>
        <w:tc>
          <w:tcPr>
            <w:tcW w:w="316" w:type="dxa"/>
            <w:tcBorders>
              <w:top w:val="single" w:sz="4" w:space="0" w:color="auto"/>
              <w:left w:val="nil"/>
              <w:bottom w:val="single" w:sz="4" w:space="0" w:color="auto"/>
              <w:right w:val="single" w:sz="4" w:space="0" w:color="auto"/>
            </w:tcBorders>
            <w:shd w:val="clear" w:color="000000" w:fill="DAEEF3"/>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Łańcucka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Gniewczyna Tryniecka (kobiety)</w:t>
            </w:r>
          </w:p>
        </w:tc>
        <w:tc>
          <w:tcPr>
            <w:tcW w:w="316"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(ogółem)</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(mężczyźni)</w:t>
            </w:r>
          </w:p>
        </w:tc>
        <w:tc>
          <w:tcPr>
            <w:tcW w:w="317" w:type="dxa"/>
            <w:tcBorders>
              <w:top w:val="single" w:sz="4" w:space="0" w:color="auto"/>
              <w:left w:val="nil"/>
              <w:bottom w:val="single" w:sz="4" w:space="0" w:color="auto"/>
              <w:right w:val="single" w:sz="4" w:space="0" w:color="auto"/>
            </w:tcBorders>
            <w:shd w:val="clear" w:color="000000" w:fill="E4DFEC"/>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Gorzyce (kobiety)</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(ogółem)</w:t>
            </w:r>
          </w:p>
        </w:tc>
        <w:tc>
          <w:tcPr>
            <w:tcW w:w="317"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(mężczyźni)</w:t>
            </w:r>
          </w:p>
        </w:tc>
        <w:tc>
          <w:tcPr>
            <w:tcW w:w="316" w:type="dxa"/>
            <w:tcBorders>
              <w:top w:val="single" w:sz="4" w:space="0" w:color="auto"/>
              <w:left w:val="nil"/>
              <w:bottom w:val="single" w:sz="4" w:space="0" w:color="auto"/>
              <w:right w:val="single" w:sz="4" w:space="0" w:color="auto"/>
            </w:tcBorders>
            <w:shd w:val="clear" w:color="000000" w:fill="EBF1DE"/>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Jagiełła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Tryńcza (kobiety)</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(ogółem)</w:t>
            </w:r>
          </w:p>
        </w:tc>
        <w:tc>
          <w:tcPr>
            <w:tcW w:w="317"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(mężczyźni)</w:t>
            </w:r>
          </w:p>
        </w:tc>
        <w:tc>
          <w:tcPr>
            <w:tcW w:w="316" w:type="dxa"/>
            <w:tcBorders>
              <w:top w:val="single" w:sz="4" w:space="0" w:color="auto"/>
              <w:left w:val="nil"/>
              <w:bottom w:val="single" w:sz="4" w:space="0" w:color="auto"/>
              <w:right w:val="single" w:sz="4" w:space="0" w:color="auto"/>
            </w:tcBorders>
            <w:shd w:val="clear" w:color="000000" w:fill="C5D9F1"/>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Ubieszyn (kobiety)</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(ogółem)</w:t>
            </w:r>
          </w:p>
        </w:tc>
        <w:tc>
          <w:tcPr>
            <w:tcW w:w="316" w:type="dxa"/>
            <w:tcBorders>
              <w:top w:val="single" w:sz="4" w:space="0" w:color="auto"/>
              <w:left w:val="nil"/>
              <w:bottom w:val="single" w:sz="4" w:space="0" w:color="auto"/>
              <w:right w:val="single" w:sz="4" w:space="0" w:color="auto"/>
            </w:tcBorders>
            <w:shd w:val="clear" w:color="auto" w:fill="auto"/>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(mężczyźni)</w:t>
            </w:r>
          </w:p>
        </w:tc>
        <w:tc>
          <w:tcPr>
            <w:tcW w:w="317" w:type="dxa"/>
            <w:tcBorders>
              <w:top w:val="single" w:sz="4" w:space="0" w:color="auto"/>
              <w:left w:val="nil"/>
              <w:bottom w:val="single" w:sz="4" w:space="0" w:color="auto"/>
              <w:right w:val="single" w:sz="4" w:space="0" w:color="auto"/>
            </w:tcBorders>
            <w:shd w:val="clear" w:color="auto" w:fill="auto"/>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Małkowa (kobiety)</w:t>
            </w:r>
          </w:p>
        </w:tc>
        <w:tc>
          <w:tcPr>
            <w:tcW w:w="316"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(ogółem)</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(mężczyźni)</w:t>
            </w:r>
          </w:p>
        </w:tc>
        <w:tc>
          <w:tcPr>
            <w:tcW w:w="317" w:type="dxa"/>
            <w:tcBorders>
              <w:top w:val="single" w:sz="4" w:space="0" w:color="auto"/>
              <w:left w:val="nil"/>
              <w:bottom w:val="single" w:sz="4" w:space="0" w:color="auto"/>
              <w:right w:val="single" w:sz="4" w:space="0" w:color="auto"/>
            </w:tcBorders>
            <w:shd w:val="clear" w:color="000000" w:fill="DDD9C4"/>
            <w:textDirection w:val="btLr"/>
            <w:vAlign w:val="bottom"/>
            <w:hideMark/>
          </w:tcPr>
          <w:p w:rsidR="007C69E8" w:rsidRPr="00D164AF" w:rsidRDefault="007C69E8" w:rsidP="009A08A9">
            <w:pPr>
              <w:spacing w:after="0" w:line="240" w:lineRule="auto"/>
              <w:jc w:val="center"/>
              <w:rPr>
                <w:rFonts w:eastAsia="Times New Roman" w:cstheme="minorHAnsi"/>
                <w:color w:val="000000"/>
                <w:sz w:val="20"/>
                <w:szCs w:val="20"/>
                <w:lang w:eastAsia="pl-PL"/>
              </w:rPr>
            </w:pPr>
            <w:r w:rsidRPr="00D164AF">
              <w:rPr>
                <w:rFonts w:eastAsia="Times New Roman" w:cstheme="minorHAnsi"/>
                <w:color w:val="000000"/>
                <w:sz w:val="20"/>
                <w:szCs w:val="20"/>
                <w:lang w:eastAsia="pl-PL"/>
              </w:rPr>
              <w:t>Wólka Ogryzkowa (kobiety)</w:t>
            </w:r>
          </w:p>
        </w:tc>
      </w:tr>
      <w:tr w:rsidR="007C69E8" w:rsidRPr="00D164AF" w:rsidTr="009A08A9">
        <w:trPr>
          <w:trHeight w:val="630"/>
          <w:jc w:val="center"/>
        </w:trPr>
        <w:tc>
          <w:tcPr>
            <w:tcW w:w="316" w:type="dxa"/>
            <w:tcBorders>
              <w:top w:val="nil"/>
              <w:left w:val="nil"/>
              <w:bottom w:val="single" w:sz="4" w:space="0" w:color="auto"/>
              <w:right w:val="single" w:sz="4" w:space="0" w:color="auto"/>
            </w:tcBorders>
            <w:shd w:val="clear" w:color="auto" w:fill="auto"/>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6,1</w:t>
            </w:r>
          </w:p>
        </w:tc>
        <w:tc>
          <w:tcPr>
            <w:tcW w:w="317" w:type="dxa"/>
            <w:tcBorders>
              <w:top w:val="nil"/>
              <w:left w:val="nil"/>
              <w:bottom w:val="single" w:sz="4" w:space="0" w:color="auto"/>
              <w:right w:val="single" w:sz="4" w:space="0" w:color="auto"/>
            </w:tcBorders>
            <w:shd w:val="clear" w:color="auto" w:fill="auto"/>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12,25</w:t>
            </w:r>
          </w:p>
        </w:tc>
        <w:tc>
          <w:tcPr>
            <w:tcW w:w="316" w:type="dxa"/>
            <w:tcBorders>
              <w:top w:val="nil"/>
              <w:left w:val="nil"/>
              <w:bottom w:val="single" w:sz="4" w:space="0" w:color="auto"/>
              <w:right w:val="single" w:sz="4" w:space="0" w:color="auto"/>
            </w:tcBorders>
            <w:shd w:val="clear" w:color="auto" w:fill="auto"/>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14,75</w:t>
            </w:r>
          </w:p>
        </w:tc>
        <w:tc>
          <w:tcPr>
            <w:tcW w:w="317" w:type="dxa"/>
            <w:tcBorders>
              <w:top w:val="nil"/>
              <w:left w:val="nil"/>
              <w:bottom w:val="single" w:sz="4" w:space="0" w:color="auto"/>
              <w:right w:val="single" w:sz="4" w:space="0" w:color="auto"/>
            </w:tcBorders>
            <w:shd w:val="clear" w:color="auto" w:fill="auto"/>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14,77</w:t>
            </w:r>
          </w:p>
        </w:tc>
        <w:tc>
          <w:tcPr>
            <w:tcW w:w="316" w:type="dxa"/>
            <w:tcBorders>
              <w:top w:val="nil"/>
              <w:left w:val="nil"/>
              <w:bottom w:val="single" w:sz="4" w:space="0" w:color="auto"/>
              <w:right w:val="single" w:sz="4" w:space="0" w:color="auto"/>
            </w:tcBorders>
            <w:shd w:val="clear" w:color="auto" w:fill="auto"/>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14,72</w:t>
            </w:r>
          </w:p>
        </w:tc>
        <w:tc>
          <w:tcPr>
            <w:tcW w:w="317" w:type="dxa"/>
            <w:tcBorders>
              <w:top w:val="nil"/>
              <w:left w:val="nil"/>
              <w:bottom w:val="single" w:sz="4" w:space="0" w:color="auto"/>
              <w:right w:val="single" w:sz="4" w:space="0" w:color="auto"/>
            </w:tcBorders>
            <w:shd w:val="clear" w:color="000000" w:fill="FDE9D9"/>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13,56</w:t>
            </w:r>
          </w:p>
        </w:tc>
        <w:tc>
          <w:tcPr>
            <w:tcW w:w="316" w:type="dxa"/>
            <w:tcBorders>
              <w:top w:val="nil"/>
              <w:left w:val="nil"/>
              <w:bottom w:val="single" w:sz="4" w:space="0" w:color="auto"/>
              <w:right w:val="single" w:sz="4" w:space="0" w:color="auto"/>
            </w:tcBorders>
            <w:shd w:val="clear" w:color="000000" w:fill="FDE9D9"/>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14,88</w:t>
            </w:r>
          </w:p>
        </w:tc>
        <w:tc>
          <w:tcPr>
            <w:tcW w:w="317" w:type="dxa"/>
            <w:tcBorders>
              <w:top w:val="nil"/>
              <w:left w:val="nil"/>
              <w:bottom w:val="single" w:sz="4" w:space="0" w:color="auto"/>
              <w:right w:val="single" w:sz="4" w:space="0" w:color="auto"/>
            </w:tcBorders>
            <w:shd w:val="clear" w:color="000000" w:fill="FDE9D9"/>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12,24</w:t>
            </w:r>
          </w:p>
        </w:tc>
        <w:tc>
          <w:tcPr>
            <w:tcW w:w="316" w:type="dxa"/>
            <w:tcBorders>
              <w:top w:val="nil"/>
              <w:left w:val="nil"/>
              <w:bottom w:val="single" w:sz="4" w:space="0" w:color="auto"/>
              <w:right w:val="single" w:sz="4" w:space="0" w:color="auto"/>
            </w:tcBorders>
            <w:shd w:val="clear" w:color="000000" w:fill="DAEEF3"/>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14,80</w:t>
            </w:r>
          </w:p>
        </w:tc>
        <w:tc>
          <w:tcPr>
            <w:tcW w:w="317" w:type="dxa"/>
            <w:tcBorders>
              <w:top w:val="nil"/>
              <w:left w:val="nil"/>
              <w:bottom w:val="single" w:sz="4" w:space="0" w:color="auto"/>
              <w:right w:val="single" w:sz="4" w:space="0" w:color="auto"/>
            </w:tcBorders>
            <w:shd w:val="clear" w:color="000000" w:fill="DAEEF3"/>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14,53</w:t>
            </w:r>
          </w:p>
        </w:tc>
        <w:tc>
          <w:tcPr>
            <w:tcW w:w="316" w:type="dxa"/>
            <w:tcBorders>
              <w:top w:val="nil"/>
              <w:left w:val="nil"/>
              <w:bottom w:val="single" w:sz="4" w:space="0" w:color="auto"/>
              <w:right w:val="single" w:sz="4" w:space="0" w:color="auto"/>
            </w:tcBorders>
            <w:shd w:val="clear" w:color="000000" w:fill="DAEEF3"/>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15,08</w:t>
            </w:r>
          </w:p>
        </w:tc>
        <w:tc>
          <w:tcPr>
            <w:tcW w:w="317" w:type="dxa"/>
            <w:tcBorders>
              <w:top w:val="nil"/>
              <w:left w:val="nil"/>
              <w:bottom w:val="single" w:sz="4" w:space="0" w:color="auto"/>
              <w:right w:val="single" w:sz="4" w:space="0" w:color="auto"/>
            </w:tcBorders>
            <w:shd w:val="clear" w:color="auto" w:fill="auto"/>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11,90</w:t>
            </w:r>
          </w:p>
        </w:tc>
        <w:tc>
          <w:tcPr>
            <w:tcW w:w="316" w:type="dxa"/>
            <w:tcBorders>
              <w:top w:val="nil"/>
              <w:left w:val="nil"/>
              <w:bottom w:val="single" w:sz="4" w:space="0" w:color="auto"/>
              <w:right w:val="single" w:sz="4" w:space="0" w:color="auto"/>
            </w:tcBorders>
            <w:shd w:val="clear" w:color="auto" w:fill="auto"/>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10,92</w:t>
            </w:r>
          </w:p>
        </w:tc>
        <w:tc>
          <w:tcPr>
            <w:tcW w:w="317" w:type="dxa"/>
            <w:tcBorders>
              <w:top w:val="nil"/>
              <w:left w:val="nil"/>
              <w:bottom w:val="single" w:sz="4" w:space="0" w:color="auto"/>
              <w:right w:val="single" w:sz="4" w:space="0" w:color="auto"/>
            </w:tcBorders>
            <w:shd w:val="clear" w:color="auto" w:fill="auto"/>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12,89</w:t>
            </w:r>
          </w:p>
        </w:tc>
        <w:tc>
          <w:tcPr>
            <w:tcW w:w="316" w:type="dxa"/>
            <w:tcBorders>
              <w:top w:val="nil"/>
              <w:left w:val="nil"/>
              <w:bottom w:val="single" w:sz="4" w:space="0" w:color="auto"/>
              <w:right w:val="single" w:sz="4" w:space="0" w:color="auto"/>
            </w:tcBorders>
            <w:shd w:val="clear" w:color="000000" w:fill="E4DFEC"/>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11,60</w:t>
            </w:r>
          </w:p>
        </w:tc>
        <w:tc>
          <w:tcPr>
            <w:tcW w:w="317" w:type="dxa"/>
            <w:tcBorders>
              <w:top w:val="nil"/>
              <w:left w:val="nil"/>
              <w:bottom w:val="single" w:sz="4" w:space="0" w:color="auto"/>
              <w:right w:val="single" w:sz="4" w:space="0" w:color="auto"/>
            </w:tcBorders>
            <w:shd w:val="clear" w:color="000000" w:fill="E4DFEC"/>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10,98</w:t>
            </w:r>
          </w:p>
        </w:tc>
        <w:tc>
          <w:tcPr>
            <w:tcW w:w="317" w:type="dxa"/>
            <w:tcBorders>
              <w:top w:val="nil"/>
              <w:left w:val="nil"/>
              <w:bottom w:val="single" w:sz="4" w:space="0" w:color="auto"/>
              <w:right w:val="single" w:sz="4" w:space="0" w:color="auto"/>
            </w:tcBorders>
            <w:shd w:val="clear" w:color="000000" w:fill="E4DFEC"/>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12,23</w:t>
            </w:r>
          </w:p>
        </w:tc>
        <w:tc>
          <w:tcPr>
            <w:tcW w:w="316" w:type="dxa"/>
            <w:tcBorders>
              <w:top w:val="nil"/>
              <w:left w:val="nil"/>
              <w:bottom w:val="single" w:sz="4" w:space="0" w:color="auto"/>
              <w:right w:val="single" w:sz="4" w:space="0" w:color="auto"/>
            </w:tcBorders>
            <w:shd w:val="clear" w:color="000000" w:fill="EBF1DE"/>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23,10</w:t>
            </w:r>
          </w:p>
        </w:tc>
        <w:tc>
          <w:tcPr>
            <w:tcW w:w="317" w:type="dxa"/>
            <w:tcBorders>
              <w:top w:val="nil"/>
              <w:left w:val="nil"/>
              <w:bottom w:val="single" w:sz="4" w:space="0" w:color="auto"/>
              <w:right w:val="single" w:sz="4" w:space="0" w:color="auto"/>
            </w:tcBorders>
            <w:shd w:val="clear" w:color="000000" w:fill="EBF1DE"/>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24,20</w:t>
            </w:r>
          </w:p>
        </w:tc>
        <w:tc>
          <w:tcPr>
            <w:tcW w:w="316" w:type="dxa"/>
            <w:tcBorders>
              <w:top w:val="nil"/>
              <w:left w:val="nil"/>
              <w:bottom w:val="single" w:sz="4" w:space="0" w:color="auto"/>
              <w:right w:val="single" w:sz="4" w:space="0" w:color="auto"/>
            </w:tcBorders>
            <w:shd w:val="clear" w:color="000000" w:fill="EBF1DE"/>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22,00</w:t>
            </w:r>
          </w:p>
        </w:tc>
        <w:tc>
          <w:tcPr>
            <w:tcW w:w="317" w:type="dxa"/>
            <w:tcBorders>
              <w:top w:val="nil"/>
              <w:left w:val="nil"/>
              <w:bottom w:val="single" w:sz="4" w:space="0" w:color="auto"/>
              <w:right w:val="single" w:sz="4" w:space="0" w:color="auto"/>
            </w:tcBorders>
            <w:shd w:val="clear" w:color="auto" w:fill="auto"/>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13,50</w:t>
            </w:r>
          </w:p>
        </w:tc>
        <w:tc>
          <w:tcPr>
            <w:tcW w:w="316" w:type="dxa"/>
            <w:tcBorders>
              <w:top w:val="nil"/>
              <w:left w:val="nil"/>
              <w:bottom w:val="single" w:sz="4" w:space="0" w:color="auto"/>
              <w:right w:val="single" w:sz="4" w:space="0" w:color="auto"/>
            </w:tcBorders>
            <w:shd w:val="clear" w:color="auto" w:fill="auto"/>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14,53</w:t>
            </w:r>
          </w:p>
        </w:tc>
        <w:tc>
          <w:tcPr>
            <w:tcW w:w="317" w:type="dxa"/>
            <w:tcBorders>
              <w:top w:val="nil"/>
              <w:left w:val="nil"/>
              <w:bottom w:val="single" w:sz="4" w:space="0" w:color="auto"/>
              <w:right w:val="single" w:sz="4" w:space="0" w:color="auto"/>
            </w:tcBorders>
            <w:shd w:val="clear" w:color="auto" w:fill="auto"/>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12,46</w:t>
            </w:r>
          </w:p>
        </w:tc>
        <w:tc>
          <w:tcPr>
            <w:tcW w:w="316" w:type="dxa"/>
            <w:tcBorders>
              <w:top w:val="nil"/>
              <w:left w:val="nil"/>
              <w:bottom w:val="single" w:sz="4" w:space="0" w:color="auto"/>
              <w:right w:val="single" w:sz="4" w:space="0" w:color="auto"/>
            </w:tcBorders>
            <w:shd w:val="clear" w:color="000000" w:fill="C5D9F1"/>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15,35</w:t>
            </w:r>
          </w:p>
        </w:tc>
        <w:tc>
          <w:tcPr>
            <w:tcW w:w="317" w:type="dxa"/>
            <w:tcBorders>
              <w:top w:val="nil"/>
              <w:left w:val="nil"/>
              <w:bottom w:val="single" w:sz="4" w:space="0" w:color="auto"/>
              <w:right w:val="single" w:sz="4" w:space="0" w:color="auto"/>
            </w:tcBorders>
            <w:shd w:val="clear" w:color="000000" w:fill="C5D9F1"/>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14,52</w:t>
            </w:r>
          </w:p>
        </w:tc>
        <w:tc>
          <w:tcPr>
            <w:tcW w:w="316" w:type="dxa"/>
            <w:tcBorders>
              <w:top w:val="nil"/>
              <w:left w:val="nil"/>
              <w:bottom w:val="single" w:sz="4" w:space="0" w:color="auto"/>
              <w:right w:val="single" w:sz="4" w:space="0" w:color="auto"/>
            </w:tcBorders>
            <w:shd w:val="clear" w:color="000000" w:fill="C5D9F1"/>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16,19</w:t>
            </w:r>
          </w:p>
        </w:tc>
        <w:tc>
          <w:tcPr>
            <w:tcW w:w="317" w:type="dxa"/>
            <w:tcBorders>
              <w:top w:val="nil"/>
              <w:left w:val="nil"/>
              <w:bottom w:val="single" w:sz="4" w:space="0" w:color="auto"/>
              <w:right w:val="single" w:sz="4" w:space="0" w:color="auto"/>
            </w:tcBorders>
            <w:shd w:val="clear" w:color="auto" w:fill="auto"/>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11,01</w:t>
            </w:r>
          </w:p>
        </w:tc>
        <w:tc>
          <w:tcPr>
            <w:tcW w:w="316" w:type="dxa"/>
            <w:tcBorders>
              <w:top w:val="nil"/>
              <w:left w:val="nil"/>
              <w:bottom w:val="single" w:sz="4" w:space="0" w:color="auto"/>
              <w:right w:val="single" w:sz="4" w:space="0" w:color="auto"/>
            </w:tcBorders>
            <w:shd w:val="clear" w:color="auto" w:fill="auto"/>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10,33</w:t>
            </w:r>
          </w:p>
        </w:tc>
        <w:tc>
          <w:tcPr>
            <w:tcW w:w="317" w:type="dxa"/>
            <w:tcBorders>
              <w:top w:val="nil"/>
              <w:left w:val="nil"/>
              <w:bottom w:val="single" w:sz="4" w:space="0" w:color="auto"/>
              <w:right w:val="single" w:sz="4" w:space="0" w:color="auto"/>
            </w:tcBorders>
            <w:shd w:val="clear" w:color="auto" w:fill="auto"/>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11,69</w:t>
            </w:r>
          </w:p>
        </w:tc>
        <w:tc>
          <w:tcPr>
            <w:tcW w:w="316" w:type="dxa"/>
            <w:tcBorders>
              <w:top w:val="nil"/>
              <w:left w:val="nil"/>
              <w:bottom w:val="single" w:sz="4" w:space="0" w:color="auto"/>
              <w:right w:val="single" w:sz="4" w:space="0" w:color="auto"/>
            </w:tcBorders>
            <w:shd w:val="clear" w:color="000000" w:fill="DDD9C4"/>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14,04</w:t>
            </w:r>
          </w:p>
        </w:tc>
        <w:tc>
          <w:tcPr>
            <w:tcW w:w="317" w:type="dxa"/>
            <w:tcBorders>
              <w:top w:val="nil"/>
              <w:left w:val="nil"/>
              <w:bottom w:val="single" w:sz="4" w:space="0" w:color="auto"/>
              <w:right w:val="single" w:sz="4" w:space="0" w:color="auto"/>
            </w:tcBorders>
            <w:shd w:val="clear" w:color="000000" w:fill="DDD9C4"/>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15,03</w:t>
            </w:r>
          </w:p>
        </w:tc>
        <w:tc>
          <w:tcPr>
            <w:tcW w:w="317" w:type="dxa"/>
            <w:tcBorders>
              <w:top w:val="nil"/>
              <w:left w:val="nil"/>
              <w:bottom w:val="single" w:sz="4" w:space="0" w:color="auto"/>
              <w:right w:val="single" w:sz="4" w:space="0" w:color="auto"/>
            </w:tcBorders>
            <w:shd w:val="clear" w:color="000000" w:fill="DDD9C4"/>
            <w:noWrap/>
            <w:textDirection w:val="btLr"/>
            <w:hideMark/>
          </w:tcPr>
          <w:p w:rsidR="007C69E8" w:rsidRDefault="007C69E8" w:rsidP="007C69E8">
            <w:pPr>
              <w:jc w:val="center"/>
              <w:rPr>
                <w:rFonts w:ascii="Calibri" w:hAnsi="Calibri" w:cs="Calibri"/>
                <w:color w:val="FF0000"/>
                <w:sz w:val="18"/>
                <w:szCs w:val="18"/>
              </w:rPr>
            </w:pPr>
            <w:r>
              <w:rPr>
                <w:rFonts w:ascii="Calibri" w:hAnsi="Calibri" w:cs="Calibri"/>
                <w:color w:val="FF0000"/>
                <w:sz w:val="18"/>
                <w:szCs w:val="18"/>
              </w:rPr>
              <w:t>13,05</w:t>
            </w:r>
          </w:p>
        </w:tc>
      </w:tr>
    </w:tbl>
    <w:p w:rsidR="007C69E8" w:rsidRDefault="007C69E8" w:rsidP="007C69E8">
      <w:pPr>
        <w:pStyle w:val="Legenda"/>
        <w:spacing w:line="276" w:lineRule="auto"/>
      </w:pPr>
      <w:r w:rsidRPr="00FB4E3B">
        <w:t xml:space="preserve">Źródło: </w:t>
      </w:r>
      <w:r>
        <w:t>opracowanie własne na podstawie danych GOPS Tryńcza</w:t>
      </w:r>
      <w:r w:rsidR="00314DA1">
        <w:t xml:space="preserve"> oraz danych szacunkowych w proporcji do liczby zamieszkałych kobiet i mężczyzn w poszczególnych miejscowościach gminnych</w:t>
      </w:r>
      <w:r w:rsidR="00763DD6">
        <w:t xml:space="preserve"> – dane za 2014 rok</w:t>
      </w:r>
    </w:p>
    <w:p w:rsidR="00314DA1" w:rsidRDefault="00314DA1" w:rsidP="00314DA1">
      <w:pPr>
        <w:pStyle w:val="Legenda"/>
      </w:pPr>
    </w:p>
    <w:p w:rsidR="00314DA1" w:rsidRDefault="00314DA1" w:rsidP="00314DA1">
      <w:pPr>
        <w:pStyle w:val="Legenda"/>
      </w:pPr>
    </w:p>
    <w:p w:rsidR="00314DA1" w:rsidRDefault="00314DA1" w:rsidP="00314DA1">
      <w:pPr>
        <w:pStyle w:val="Legenda"/>
      </w:pPr>
    </w:p>
    <w:p w:rsidR="00314DA1" w:rsidRDefault="00314DA1" w:rsidP="00314DA1">
      <w:pPr>
        <w:pStyle w:val="Legenda"/>
      </w:pPr>
      <w:bookmarkStart w:id="97" w:name="_Toc495887785"/>
      <w:r>
        <w:rPr>
          <w:noProof/>
          <w:lang w:eastAsia="pl-PL"/>
        </w:rPr>
        <w:drawing>
          <wp:anchor distT="0" distB="0" distL="114300" distR="114300" simplePos="0" relativeHeight="251663360" behindDoc="1" locked="0" layoutInCell="1" allowOverlap="1" wp14:anchorId="6F48239A" wp14:editId="3D8AB292">
            <wp:simplePos x="0" y="0"/>
            <wp:positionH relativeFrom="column">
              <wp:posOffset>-4445</wp:posOffset>
            </wp:positionH>
            <wp:positionV relativeFrom="paragraph">
              <wp:posOffset>405130</wp:posOffset>
            </wp:positionV>
            <wp:extent cx="3742055" cy="4933950"/>
            <wp:effectExtent l="0" t="0" r="0" b="0"/>
            <wp:wrapTight wrapText="bothSides">
              <wp:wrapPolygon edited="0">
                <wp:start x="0" y="0"/>
                <wp:lineTo x="0" y="21517"/>
                <wp:lineTo x="21442" y="21517"/>
                <wp:lineTo x="21442"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42055" cy="49339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Mapa </w:t>
      </w:r>
      <w:r w:rsidR="00172343">
        <w:fldChar w:fldCharType="begin"/>
      </w:r>
      <w:r w:rsidR="00172343">
        <w:instrText xml:space="preserve"> SEQ Mapa \* ARABIC </w:instrText>
      </w:r>
      <w:r w:rsidR="00172343">
        <w:fldChar w:fldCharType="separate"/>
      </w:r>
      <w:r w:rsidR="00883893">
        <w:rPr>
          <w:noProof/>
        </w:rPr>
        <w:t>9</w:t>
      </w:r>
      <w:r w:rsidR="00172343">
        <w:rPr>
          <w:noProof/>
        </w:rPr>
        <w:fldChar w:fldCharType="end"/>
      </w:r>
      <w:r>
        <w:rPr>
          <w:noProof/>
        </w:rPr>
        <w:t xml:space="preserve"> </w:t>
      </w:r>
      <w:r>
        <w:t>Wskaźnik referencyjny oraz wskaźnik „</w:t>
      </w:r>
      <w:r w:rsidRPr="007C69E8">
        <w:t>Liczba osób korzystających ze świadczeń pomocy społecznej w przeliczeniu na 100 osób wg miejsca zamieszkania</w:t>
      </w:r>
      <w:r>
        <w:t>” dla poszczególnych miejscowości</w:t>
      </w:r>
      <w:bookmarkEnd w:id="97"/>
    </w:p>
    <w:p w:rsidR="00314DA1" w:rsidRDefault="00314DA1" w:rsidP="00314DA1">
      <w:pPr>
        <w:pStyle w:val="Legenda"/>
      </w:pPr>
      <w:r w:rsidRPr="00314DA1">
        <w:t xml:space="preserve"> </w:t>
      </w:r>
    </w:p>
    <w:p w:rsidR="00314DA1" w:rsidRDefault="00314DA1" w:rsidP="00314DA1">
      <w:pPr>
        <w:pStyle w:val="Legenda"/>
      </w:pPr>
    </w:p>
    <w:p w:rsidR="00314DA1" w:rsidRDefault="00314DA1" w:rsidP="00314DA1">
      <w:pPr>
        <w:pStyle w:val="Legenda"/>
      </w:pPr>
    </w:p>
    <w:p w:rsidR="00314DA1" w:rsidRDefault="00314DA1" w:rsidP="00314DA1">
      <w:pPr>
        <w:pStyle w:val="Legenda"/>
      </w:pPr>
    </w:p>
    <w:p w:rsidR="00314DA1" w:rsidRDefault="00314DA1" w:rsidP="00314DA1">
      <w:pPr>
        <w:pStyle w:val="Legenda"/>
      </w:pPr>
    </w:p>
    <w:p w:rsidR="00314DA1" w:rsidRDefault="00314DA1" w:rsidP="00314DA1">
      <w:pPr>
        <w:pStyle w:val="Legenda"/>
      </w:pPr>
    </w:p>
    <w:p w:rsidR="00314DA1" w:rsidRDefault="00314DA1" w:rsidP="00314DA1">
      <w:pPr>
        <w:pStyle w:val="Legenda"/>
      </w:pPr>
    </w:p>
    <w:p w:rsidR="00314DA1" w:rsidRDefault="00314DA1" w:rsidP="00314DA1">
      <w:pPr>
        <w:pStyle w:val="Legenda"/>
      </w:pPr>
    </w:p>
    <w:p w:rsidR="00314DA1" w:rsidRDefault="00314DA1" w:rsidP="00314DA1">
      <w:pPr>
        <w:pStyle w:val="Legenda"/>
      </w:pPr>
    </w:p>
    <w:p w:rsidR="00314DA1" w:rsidRDefault="00314DA1" w:rsidP="00314DA1">
      <w:pPr>
        <w:pStyle w:val="Legenda"/>
      </w:pPr>
    </w:p>
    <w:p w:rsidR="00314DA1" w:rsidRDefault="00314DA1" w:rsidP="00314DA1">
      <w:pPr>
        <w:pStyle w:val="Legenda"/>
      </w:pPr>
    </w:p>
    <w:p w:rsidR="00314DA1" w:rsidRDefault="00314DA1" w:rsidP="00314DA1">
      <w:pPr>
        <w:pStyle w:val="Legenda"/>
      </w:pPr>
    </w:p>
    <w:p w:rsidR="00314DA1" w:rsidRDefault="00314DA1" w:rsidP="00314DA1">
      <w:pPr>
        <w:pStyle w:val="Legenda"/>
      </w:pPr>
    </w:p>
    <w:p w:rsidR="00314DA1" w:rsidRDefault="00314DA1" w:rsidP="00314DA1">
      <w:pPr>
        <w:pStyle w:val="Legenda"/>
      </w:pPr>
    </w:p>
    <w:p w:rsidR="00314DA1" w:rsidRDefault="00314DA1" w:rsidP="00314DA1">
      <w:pPr>
        <w:pStyle w:val="Legenda"/>
      </w:pPr>
    </w:p>
    <w:p w:rsidR="00314DA1" w:rsidRDefault="00314DA1" w:rsidP="00314DA1">
      <w:pPr>
        <w:pStyle w:val="Legenda"/>
      </w:pPr>
    </w:p>
    <w:p w:rsidR="00314DA1" w:rsidRDefault="00314DA1" w:rsidP="00314DA1">
      <w:pPr>
        <w:pStyle w:val="Legenda"/>
      </w:pPr>
    </w:p>
    <w:p w:rsidR="00314DA1" w:rsidRDefault="00314DA1" w:rsidP="00314DA1">
      <w:pPr>
        <w:pStyle w:val="Legenda"/>
      </w:pPr>
      <w:r w:rsidRPr="00FB4E3B">
        <w:t xml:space="preserve">Źródło: </w:t>
      </w:r>
      <w:r>
        <w:t>opracowanie własne na podstawie danych GOPS Tryńcza</w:t>
      </w:r>
    </w:p>
    <w:p w:rsidR="00314DA1" w:rsidRDefault="00314DA1" w:rsidP="00314DA1"/>
    <w:p w:rsidR="007C69E8" w:rsidRDefault="007C69E8" w:rsidP="007C69E8">
      <w:pPr>
        <w:pStyle w:val="Bezodstpw"/>
        <w:numPr>
          <w:ilvl w:val="0"/>
          <w:numId w:val="2"/>
        </w:numPr>
      </w:pPr>
      <w:r w:rsidRPr="007C69E8">
        <w:t>Korzystający ze świadczeń pomocy społecznej z tytułu niepełnosprawności w przeliczeniu na 100 osób wg miejsca zamieszkania</w:t>
      </w:r>
    </w:p>
    <w:p w:rsidR="00314DA1" w:rsidRDefault="00314DA1" w:rsidP="00314DA1">
      <w:pPr>
        <w:pStyle w:val="Bezodstpw"/>
        <w:ind w:left="360"/>
      </w:pPr>
    </w:p>
    <w:p w:rsidR="00314DA1" w:rsidRDefault="00314DA1" w:rsidP="00763DD6">
      <w:pPr>
        <w:pStyle w:val="Bezodstpw"/>
        <w:spacing w:line="276" w:lineRule="auto"/>
        <w:ind w:firstLine="360"/>
        <w:jc w:val="both"/>
      </w:pPr>
      <w:r>
        <w:t>W związku z wysokim wskaźnikiem korzystających ze świadcz</w:t>
      </w:r>
      <w:r w:rsidR="007C545B">
        <w:t>eń z pomocy społecznej (ogółem)</w:t>
      </w:r>
      <w:r>
        <w:t>, przekraczającym minimum dwukrotnie wskaźnik referencyjny dla województwa, nie poddawano analizie powodów przyznawania świadczeń, w tym z tytułu niepełnosprawności w podziale na miejscowości gminne.</w:t>
      </w:r>
    </w:p>
    <w:p w:rsidR="00314DA1" w:rsidRDefault="00314DA1" w:rsidP="00314DA1">
      <w:pPr>
        <w:ind w:firstLine="360"/>
        <w:jc w:val="both"/>
      </w:pPr>
      <w:r>
        <w:t xml:space="preserve">Tym samym w kategorii pomoc </w:t>
      </w:r>
      <w:r w:rsidR="000C01C6">
        <w:t>społeczna</w:t>
      </w:r>
      <w:r>
        <w:t xml:space="preserve"> następujące miejscowości spełniają wymagane minimum: Głogowiec, Ubieszyn, Tryńcza, Wólka Małkowa, Wólka Ogryzkowa, Gorzyce, Gniewczyna Tryniecka, Gniewczyna Łańcucka i Jagiełła (tzn. wszystkie miejscowości gminne).</w:t>
      </w:r>
    </w:p>
    <w:p w:rsidR="00763DD6" w:rsidRDefault="00763DD6" w:rsidP="00314DA1">
      <w:pPr>
        <w:ind w:firstLine="360"/>
        <w:jc w:val="both"/>
      </w:pPr>
    </w:p>
    <w:p w:rsidR="00763DD6" w:rsidRDefault="00763DD6" w:rsidP="00314DA1">
      <w:pPr>
        <w:ind w:firstLine="360"/>
        <w:jc w:val="both"/>
      </w:pPr>
    </w:p>
    <w:p w:rsidR="00314DA1" w:rsidRDefault="00314DA1" w:rsidP="00314DA1">
      <w:pPr>
        <w:pStyle w:val="Nagwek2"/>
      </w:pPr>
      <w:bookmarkStart w:id="98" w:name="_Toc496558082"/>
      <w:r>
        <w:lastRenderedPageBreak/>
        <w:t>Kategoria</w:t>
      </w:r>
      <w:r w:rsidR="007446A0">
        <w:t>:</w:t>
      </w:r>
      <w:r>
        <w:t xml:space="preserve"> edukacja</w:t>
      </w:r>
      <w:bookmarkEnd w:id="98"/>
    </w:p>
    <w:p w:rsidR="00314DA1" w:rsidRDefault="00314DA1" w:rsidP="00314DA1">
      <w:pPr>
        <w:pStyle w:val="Bezodstpw"/>
        <w:ind w:left="360" w:firstLine="348"/>
        <w:jc w:val="both"/>
      </w:pPr>
    </w:p>
    <w:p w:rsidR="00314DA1" w:rsidRDefault="00314DA1" w:rsidP="00763DD6">
      <w:pPr>
        <w:pStyle w:val="Bezodstpw"/>
        <w:spacing w:line="276" w:lineRule="auto"/>
        <w:ind w:firstLine="708"/>
        <w:jc w:val="both"/>
      </w:pPr>
      <w:r>
        <w:t xml:space="preserve">Zgodnie z </w:t>
      </w:r>
      <w:r w:rsidRPr="007C3562">
        <w:rPr>
          <w:i/>
        </w:rPr>
        <w:t xml:space="preserve">Instrukcją </w:t>
      </w:r>
      <w:r>
        <w:t xml:space="preserve">w kategorii edukacja określono jeden wskaźnik: „10. </w:t>
      </w:r>
      <w:r w:rsidRPr="00314DA1">
        <w:t>Wyniki egzaminów 6-klasisty</w:t>
      </w:r>
      <w:r>
        <w:t>” ze wskaźnikiem referencyjnym na poziomie 67,7% (a 2015r.). Według danych Okręgowej Komisji Egzaminacyjnej w Krakowie, wyniki egzaminów 6-klasi</w:t>
      </w:r>
      <w:r w:rsidR="00763DD6">
        <w:t>sty w poszczególnych szkołach w </w:t>
      </w:r>
      <w:r>
        <w:t>gminie były lepsze. Dlatego też nie przeprowadzono pogłębionych analiz w tej kategorii.</w:t>
      </w:r>
    </w:p>
    <w:p w:rsidR="00314DA1" w:rsidRDefault="00314DA1" w:rsidP="00314DA1">
      <w:pPr>
        <w:pStyle w:val="Bezodstpw"/>
        <w:jc w:val="both"/>
      </w:pPr>
    </w:p>
    <w:p w:rsidR="00314DA1" w:rsidRDefault="00314DA1" w:rsidP="00314DA1">
      <w:pPr>
        <w:pStyle w:val="Nagwek2"/>
      </w:pPr>
      <w:bookmarkStart w:id="99" w:name="_Toc496558083"/>
      <w:r>
        <w:t>Kategoria: podmioty gospodarcze</w:t>
      </w:r>
      <w:bookmarkEnd w:id="99"/>
    </w:p>
    <w:p w:rsidR="00314DA1" w:rsidRDefault="00314DA1" w:rsidP="00314DA1">
      <w:pPr>
        <w:pStyle w:val="Bezodstpw"/>
      </w:pPr>
    </w:p>
    <w:p w:rsidR="00314DA1" w:rsidRDefault="00314DA1" w:rsidP="00763DD6">
      <w:pPr>
        <w:pStyle w:val="Bezodstpw"/>
        <w:spacing w:line="276" w:lineRule="auto"/>
        <w:jc w:val="both"/>
      </w:pPr>
      <w:r>
        <w:t xml:space="preserve">Zgodnie z </w:t>
      </w:r>
      <w:r w:rsidRPr="007C3562">
        <w:rPr>
          <w:i/>
        </w:rPr>
        <w:t xml:space="preserve">Instrukcją </w:t>
      </w:r>
      <w:r>
        <w:t>w kategorii podmioty gospodarcze określono następujące wskaźniki:</w:t>
      </w:r>
    </w:p>
    <w:p w:rsidR="00314DA1" w:rsidRDefault="00314DA1" w:rsidP="00763DD6">
      <w:pPr>
        <w:pStyle w:val="Bezodstpw"/>
        <w:spacing w:line="276" w:lineRule="auto"/>
        <w:jc w:val="both"/>
      </w:pPr>
      <w:r>
        <w:t xml:space="preserve">11. </w:t>
      </w:r>
      <w:r w:rsidRPr="00314DA1">
        <w:t>Liczba zarejestrowanych podmiotów gospodarczych w rejestrze REGON w przeliczeniu na 100 osób wg faktycznego miejsca zamieszkania -</w:t>
      </w:r>
      <w:r>
        <w:t xml:space="preserve"> </w:t>
      </w:r>
      <w:r w:rsidRPr="00314DA1">
        <w:t>ogółem.</w:t>
      </w:r>
    </w:p>
    <w:p w:rsidR="009A08A9" w:rsidRDefault="009A08A9" w:rsidP="00314DA1">
      <w:pPr>
        <w:pStyle w:val="Bezodstpw"/>
      </w:pPr>
    </w:p>
    <w:p w:rsidR="009A08A9" w:rsidRDefault="009A08A9" w:rsidP="009A08A9">
      <w:pPr>
        <w:pStyle w:val="Legenda"/>
      </w:pPr>
      <w:bookmarkStart w:id="100" w:name="_Toc495887811"/>
      <w:r>
        <w:t xml:space="preserve">Tabela </w:t>
      </w:r>
      <w:r w:rsidR="00172343">
        <w:fldChar w:fldCharType="begin"/>
      </w:r>
      <w:r w:rsidR="00172343">
        <w:instrText xml:space="preserve"> SEQ Tabela \* ARABIC </w:instrText>
      </w:r>
      <w:r w:rsidR="00172343">
        <w:fldChar w:fldCharType="separate"/>
      </w:r>
      <w:r w:rsidR="00D67FEC">
        <w:rPr>
          <w:noProof/>
        </w:rPr>
        <w:t>22</w:t>
      </w:r>
      <w:r w:rsidR="00172343">
        <w:rPr>
          <w:noProof/>
        </w:rPr>
        <w:fldChar w:fldCharType="end"/>
      </w:r>
      <w:r>
        <w:t xml:space="preserve"> Wskaźnik referencyjny oraz wskaźnik „</w:t>
      </w:r>
      <w:r w:rsidRPr="00314DA1">
        <w:t>Liczba zarejestrowanych podmiotów gospodarczych w rejestrze REGON w przeliczeniu na 100 osób wg faktycznego miejsca zamieszkania -</w:t>
      </w:r>
      <w:r>
        <w:t xml:space="preserve"> </w:t>
      </w:r>
      <w:r w:rsidRPr="00314DA1">
        <w:t>ogółem</w:t>
      </w:r>
      <w:r>
        <w:t>” dla poszczególnych miejscowości</w:t>
      </w:r>
      <w:bookmarkEnd w:id="100"/>
    </w:p>
    <w:tbl>
      <w:tblPr>
        <w:tblW w:w="91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3"/>
        <w:gridCol w:w="480"/>
        <w:gridCol w:w="480"/>
        <w:gridCol w:w="480"/>
        <w:gridCol w:w="480"/>
        <w:gridCol w:w="480"/>
        <w:gridCol w:w="480"/>
        <w:gridCol w:w="480"/>
        <w:gridCol w:w="480"/>
        <w:gridCol w:w="480"/>
        <w:gridCol w:w="480"/>
        <w:gridCol w:w="480"/>
      </w:tblGrid>
      <w:tr w:rsidR="009A08A9" w:rsidRPr="009A08A9" w:rsidTr="009A08A9">
        <w:trPr>
          <w:trHeight w:val="2340"/>
        </w:trPr>
        <w:tc>
          <w:tcPr>
            <w:tcW w:w="3843" w:type="dxa"/>
            <w:textDirection w:val="btLr"/>
          </w:tcPr>
          <w:p w:rsidR="009A08A9" w:rsidRPr="009A08A9" w:rsidRDefault="009A08A9" w:rsidP="009A08A9">
            <w:pPr>
              <w:spacing w:after="0" w:line="240" w:lineRule="auto"/>
              <w:jc w:val="center"/>
              <w:rPr>
                <w:rFonts w:ascii="Calibri" w:eastAsia="Times New Roman" w:hAnsi="Calibri" w:cs="Calibri"/>
                <w:color w:val="FF0000"/>
                <w:sz w:val="18"/>
                <w:szCs w:val="18"/>
                <w:lang w:eastAsia="pl-PL"/>
              </w:rPr>
            </w:pPr>
          </w:p>
        </w:tc>
        <w:tc>
          <w:tcPr>
            <w:tcW w:w="480" w:type="dxa"/>
            <w:shd w:val="clear" w:color="auto" w:fill="auto"/>
            <w:textDirection w:val="btLr"/>
            <w:vAlign w:val="center"/>
            <w:hideMark/>
          </w:tcPr>
          <w:p w:rsidR="009A08A9" w:rsidRPr="009A08A9" w:rsidRDefault="009A08A9" w:rsidP="009A08A9">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dane referencyjne 2014</w:t>
            </w:r>
          </w:p>
        </w:tc>
        <w:tc>
          <w:tcPr>
            <w:tcW w:w="480" w:type="dxa"/>
            <w:shd w:val="clear" w:color="auto" w:fill="auto"/>
            <w:textDirection w:val="btLr"/>
            <w:vAlign w:val="center"/>
            <w:hideMark/>
          </w:tcPr>
          <w:p w:rsidR="009A08A9" w:rsidRPr="009A08A9" w:rsidRDefault="009A08A9" w:rsidP="009A08A9">
            <w:pPr>
              <w:spacing w:after="0" w:line="240" w:lineRule="auto"/>
              <w:jc w:val="center"/>
              <w:rPr>
                <w:rFonts w:ascii="Calibri" w:eastAsia="Times New Roman" w:hAnsi="Calibri" w:cs="Calibri"/>
                <w:color w:val="000000"/>
                <w:sz w:val="18"/>
                <w:szCs w:val="18"/>
                <w:lang w:eastAsia="pl-PL"/>
              </w:rPr>
            </w:pPr>
            <w:r w:rsidRPr="009A08A9">
              <w:rPr>
                <w:rFonts w:ascii="Calibri" w:eastAsia="Times New Roman" w:hAnsi="Calibri" w:cs="Calibri"/>
                <w:color w:val="000000"/>
                <w:sz w:val="18"/>
                <w:szCs w:val="18"/>
                <w:lang w:eastAsia="pl-PL"/>
              </w:rPr>
              <w:t>Gmina Tryńcza</w:t>
            </w:r>
          </w:p>
        </w:tc>
        <w:tc>
          <w:tcPr>
            <w:tcW w:w="480" w:type="dxa"/>
            <w:shd w:val="clear" w:color="000000" w:fill="FDE9D9"/>
            <w:textDirection w:val="btLr"/>
            <w:vAlign w:val="center"/>
            <w:hideMark/>
          </w:tcPr>
          <w:p w:rsidR="009A08A9" w:rsidRPr="009A08A9" w:rsidRDefault="009A08A9" w:rsidP="009A08A9">
            <w:pPr>
              <w:spacing w:after="0" w:line="240" w:lineRule="auto"/>
              <w:jc w:val="center"/>
              <w:rPr>
                <w:rFonts w:ascii="Calibri" w:eastAsia="Times New Roman" w:hAnsi="Calibri" w:cs="Calibri"/>
                <w:color w:val="000000"/>
                <w:sz w:val="18"/>
                <w:szCs w:val="18"/>
                <w:lang w:eastAsia="pl-PL"/>
              </w:rPr>
            </w:pPr>
            <w:r w:rsidRPr="009A08A9">
              <w:rPr>
                <w:rFonts w:ascii="Calibri" w:eastAsia="Times New Roman" w:hAnsi="Calibri" w:cs="Calibri"/>
                <w:color w:val="000000"/>
                <w:sz w:val="18"/>
                <w:szCs w:val="18"/>
                <w:lang w:eastAsia="pl-PL"/>
              </w:rPr>
              <w:t>Głogowiec</w:t>
            </w:r>
          </w:p>
        </w:tc>
        <w:tc>
          <w:tcPr>
            <w:tcW w:w="480" w:type="dxa"/>
            <w:shd w:val="clear" w:color="000000" w:fill="DAEEF3"/>
            <w:textDirection w:val="btLr"/>
            <w:vAlign w:val="center"/>
            <w:hideMark/>
          </w:tcPr>
          <w:p w:rsidR="009A08A9" w:rsidRPr="009A08A9" w:rsidRDefault="009A08A9" w:rsidP="009A08A9">
            <w:pPr>
              <w:spacing w:after="0" w:line="240" w:lineRule="auto"/>
              <w:jc w:val="center"/>
              <w:rPr>
                <w:rFonts w:ascii="Calibri" w:eastAsia="Times New Roman" w:hAnsi="Calibri" w:cs="Calibri"/>
                <w:color w:val="000000"/>
                <w:sz w:val="18"/>
                <w:szCs w:val="18"/>
                <w:lang w:eastAsia="pl-PL"/>
              </w:rPr>
            </w:pPr>
            <w:r w:rsidRPr="009A08A9">
              <w:rPr>
                <w:rFonts w:ascii="Calibri" w:eastAsia="Times New Roman" w:hAnsi="Calibri" w:cs="Calibri"/>
                <w:color w:val="000000"/>
                <w:sz w:val="18"/>
                <w:szCs w:val="18"/>
                <w:lang w:eastAsia="pl-PL"/>
              </w:rPr>
              <w:t>Gniewczyna Łańcucka</w:t>
            </w:r>
          </w:p>
        </w:tc>
        <w:tc>
          <w:tcPr>
            <w:tcW w:w="480" w:type="dxa"/>
            <w:shd w:val="clear" w:color="auto" w:fill="auto"/>
            <w:textDirection w:val="btLr"/>
            <w:vAlign w:val="center"/>
            <w:hideMark/>
          </w:tcPr>
          <w:p w:rsidR="009A08A9" w:rsidRPr="009A08A9" w:rsidRDefault="009A08A9" w:rsidP="009A08A9">
            <w:pPr>
              <w:spacing w:after="0" w:line="240" w:lineRule="auto"/>
              <w:jc w:val="center"/>
              <w:rPr>
                <w:rFonts w:ascii="Calibri" w:eastAsia="Times New Roman" w:hAnsi="Calibri" w:cs="Calibri"/>
                <w:color w:val="000000"/>
                <w:sz w:val="18"/>
                <w:szCs w:val="18"/>
                <w:lang w:eastAsia="pl-PL"/>
              </w:rPr>
            </w:pPr>
            <w:r w:rsidRPr="009A08A9">
              <w:rPr>
                <w:rFonts w:ascii="Calibri" w:eastAsia="Times New Roman" w:hAnsi="Calibri" w:cs="Calibri"/>
                <w:color w:val="000000"/>
                <w:sz w:val="18"/>
                <w:szCs w:val="18"/>
                <w:lang w:eastAsia="pl-PL"/>
              </w:rPr>
              <w:t>Gniewczyna Tryniecka</w:t>
            </w:r>
          </w:p>
        </w:tc>
        <w:tc>
          <w:tcPr>
            <w:tcW w:w="480" w:type="dxa"/>
            <w:shd w:val="clear" w:color="000000" w:fill="E4DFEC"/>
            <w:textDirection w:val="btLr"/>
            <w:vAlign w:val="center"/>
            <w:hideMark/>
          </w:tcPr>
          <w:p w:rsidR="009A08A9" w:rsidRPr="009A08A9" w:rsidRDefault="009A08A9" w:rsidP="009A08A9">
            <w:pPr>
              <w:spacing w:after="0" w:line="240" w:lineRule="auto"/>
              <w:jc w:val="center"/>
              <w:rPr>
                <w:rFonts w:ascii="Calibri" w:eastAsia="Times New Roman" w:hAnsi="Calibri" w:cs="Calibri"/>
                <w:color w:val="000000"/>
                <w:sz w:val="18"/>
                <w:szCs w:val="18"/>
                <w:lang w:eastAsia="pl-PL"/>
              </w:rPr>
            </w:pPr>
            <w:r w:rsidRPr="009A08A9">
              <w:rPr>
                <w:rFonts w:ascii="Calibri" w:eastAsia="Times New Roman" w:hAnsi="Calibri" w:cs="Calibri"/>
                <w:color w:val="000000"/>
                <w:sz w:val="18"/>
                <w:szCs w:val="18"/>
                <w:lang w:eastAsia="pl-PL"/>
              </w:rPr>
              <w:t>Gorzyce</w:t>
            </w:r>
          </w:p>
        </w:tc>
        <w:tc>
          <w:tcPr>
            <w:tcW w:w="480" w:type="dxa"/>
            <w:shd w:val="clear" w:color="000000" w:fill="EBF1DE"/>
            <w:textDirection w:val="btLr"/>
            <w:vAlign w:val="center"/>
            <w:hideMark/>
          </w:tcPr>
          <w:p w:rsidR="009A08A9" w:rsidRPr="009A08A9" w:rsidRDefault="009A08A9" w:rsidP="009A08A9">
            <w:pPr>
              <w:spacing w:after="0" w:line="240" w:lineRule="auto"/>
              <w:jc w:val="center"/>
              <w:rPr>
                <w:rFonts w:ascii="Calibri" w:eastAsia="Times New Roman" w:hAnsi="Calibri" w:cs="Calibri"/>
                <w:color w:val="000000"/>
                <w:sz w:val="18"/>
                <w:szCs w:val="18"/>
                <w:lang w:eastAsia="pl-PL"/>
              </w:rPr>
            </w:pPr>
            <w:r w:rsidRPr="009A08A9">
              <w:rPr>
                <w:rFonts w:ascii="Calibri" w:eastAsia="Times New Roman" w:hAnsi="Calibri" w:cs="Calibri"/>
                <w:color w:val="000000"/>
                <w:sz w:val="18"/>
                <w:szCs w:val="18"/>
                <w:lang w:eastAsia="pl-PL"/>
              </w:rPr>
              <w:t>Jagiełła</w:t>
            </w:r>
          </w:p>
        </w:tc>
        <w:tc>
          <w:tcPr>
            <w:tcW w:w="480" w:type="dxa"/>
            <w:shd w:val="clear" w:color="auto" w:fill="auto"/>
            <w:textDirection w:val="btLr"/>
            <w:vAlign w:val="center"/>
            <w:hideMark/>
          </w:tcPr>
          <w:p w:rsidR="009A08A9" w:rsidRPr="009A08A9" w:rsidRDefault="009A08A9" w:rsidP="009A08A9">
            <w:pPr>
              <w:spacing w:after="0" w:line="240" w:lineRule="auto"/>
              <w:jc w:val="center"/>
              <w:rPr>
                <w:rFonts w:ascii="Calibri" w:eastAsia="Times New Roman" w:hAnsi="Calibri" w:cs="Calibri"/>
                <w:color w:val="000000"/>
                <w:sz w:val="18"/>
                <w:szCs w:val="18"/>
                <w:lang w:eastAsia="pl-PL"/>
              </w:rPr>
            </w:pPr>
            <w:r w:rsidRPr="009A08A9">
              <w:rPr>
                <w:rFonts w:ascii="Calibri" w:eastAsia="Times New Roman" w:hAnsi="Calibri" w:cs="Calibri"/>
                <w:color w:val="000000"/>
                <w:sz w:val="18"/>
                <w:szCs w:val="18"/>
                <w:lang w:eastAsia="pl-PL"/>
              </w:rPr>
              <w:t>Tryńcza</w:t>
            </w:r>
          </w:p>
        </w:tc>
        <w:tc>
          <w:tcPr>
            <w:tcW w:w="480" w:type="dxa"/>
            <w:shd w:val="clear" w:color="000000" w:fill="C5D9F1"/>
            <w:textDirection w:val="btLr"/>
            <w:vAlign w:val="center"/>
            <w:hideMark/>
          </w:tcPr>
          <w:p w:rsidR="009A08A9" w:rsidRPr="009A08A9" w:rsidRDefault="009A08A9" w:rsidP="009A08A9">
            <w:pPr>
              <w:spacing w:after="0" w:line="240" w:lineRule="auto"/>
              <w:jc w:val="center"/>
              <w:rPr>
                <w:rFonts w:ascii="Calibri" w:eastAsia="Times New Roman" w:hAnsi="Calibri" w:cs="Calibri"/>
                <w:color w:val="000000"/>
                <w:sz w:val="18"/>
                <w:szCs w:val="18"/>
                <w:lang w:eastAsia="pl-PL"/>
              </w:rPr>
            </w:pPr>
            <w:r w:rsidRPr="009A08A9">
              <w:rPr>
                <w:rFonts w:ascii="Calibri" w:eastAsia="Times New Roman" w:hAnsi="Calibri" w:cs="Calibri"/>
                <w:color w:val="000000"/>
                <w:sz w:val="18"/>
                <w:szCs w:val="18"/>
                <w:lang w:eastAsia="pl-PL"/>
              </w:rPr>
              <w:t>Ubieszyn</w:t>
            </w:r>
          </w:p>
        </w:tc>
        <w:tc>
          <w:tcPr>
            <w:tcW w:w="480" w:type="dxa"/>
            <w:shd w:val="clear" w:color="auto" w:fill="auto"/>
            <w:textDirection w:val="btLr"/>
            <w:vAlign w:val="center"/>
            <w:hideMark/>
          </w:tcPr>
          <w:p w:rsidR="009A08A9" w:rsidRPr="009A08A9" w:rsidRDefault="009A08A9" w:rsidP="009A08A9">
            <w:pPr>
              <w:spacing w:after="0" w:line="240" w:lineRule="auto"/>
              <w:jc w:val="center"/>
              <w:rPr>
                <w:rFonts w:ascii="Calibri" w:eastAsia="Times New Roman" w:hAnsi="Calibri" w:cs="Calibri"/>
                <w:color w:val="000000"/>
                <w:sz w:val="18"/>
                <w:szCs w:val="18"/>
                <w:lang w:eastAsia="pl-PL"/>
              </w:rPr>
            </w:pPr>
            <w:r w:rsidRPr="009A08A9">
              <w:rPr>
                <w:rFonts w:ascii="Calibri" w:eastAsia="Times New Roman" w:hAnsi="Calibri" w:cs="Calibri"/>
                <w:color w:val="000000"/>
                <w:sz w:val="18"/>
                <w:szCs w:val="18"/>
                <w:lang w:eastAsia="pl-PL"/>
              </w:rPr>
              <w:t>Wólka Małkowa</w:t>
            </w:r>
          </w:p>
        </w:tc>
        <w:tc>
          <w:tcPr>
            <w:tcW w:w="480" w:type="dxa"/>
            <w:shd w:val="clear" w:color="000000" w:fill="DDD9C4"/>
            <w:textDirection w:val="btLr"/>
            <w:vAlign w:val="center"/>
            <w:hideMark/>
          </w:tcPr>
          <w:p w:rsidR="009A08A9" w:rsidRPr="009A08A9" w:rsidRDefault="009A08A9" w:rsidP="009A08A9">
            <w:pPr>
              <w:spacing w:after="0" w:line="240" w:lineRule="auto"/>
              <w:jc w:val="center"/>
              <w:rPr>
                <w:rFonts w:ascii="Calibri" w:eastAsia="Times New Roman" w:hAnsi="Calibri" w:cs="Calibri"/>
                <w:color w:val="000000"/>
                <w:sz w:val="18"/>
                <w:szCs w:val="18"/>
                <w:lang w:eastAsia="pl-PL"/>
              </w:rPr>
            </w:pPr>
            <w:r w:rsidRPr="009A08A9">
              <w:rPr>
                <w:rFonts w:ascii="Calibri" w:eastAsia="Times New Roman" w:hAnsi="Calibri" w:cs="Calibri"/>
                <w:color w:val="000000"/>
                <w:sz w:val="18"/>
                <w:szCs w:val="18"/>
                <w:lang w:eastAsia="pl-PL"/>
              </w:rPr>
              <w:t>Wólka Ogryzkowa</w:t>
            </w:r>
          </w:p>
        </w:tc>
      </w:tr>
      <w:tr w:rsidR="009A08A9" w:rsidRPr="009A08A9" w:rsidTr="009A08A9">
        <w:trPr>
          <w:trHeight w:val="689"/>
        </w:trPr>
        <w:tc>
          <w:tcPr>
            <w:tcW w:w="3843" w:type="dxa"/>
            <w:vAlign w:val="center"/>
          </w:tcPr>
          <w:p w:rsidR="009A08A9" w:rsidRPr="009A08A9" w:rsidRDefault="009A08A9" w:rsidP="009A08A9">
            <w:pPr>
              <w:jc w:val="center"/>
              <w:rPr>
                <w:rFonts w:ascii="Calibri" w:eastAsia="Times New Roman" w:hAnsi="Calibri" w:cs="Calibri"/>
                <w:sz w:val="18"/>
                <w:szCs w:val="18"/>
                <w:lang w:eastAsia="pl-PL"/>
              </w:rPr>
            </w:pPr>
            <w:r>
              <w:rPr>
                <w:rFonts w:ascii="Calibri" w:hAnsi="Calibri" w:cs="Calibri"/>
                <w:sz w:val="18"/>
                <w:szCs w:val="18"/>
              </w:rPr>
              <w:t>liczba podmiotów prowadzących działalność gospodarczą na 100 osób wg miejsca zamieszkania</w:t>
            </w:r>
          </w:p>
        </w:tc>
        <w:tc>
          <w:tcPr>
            <w:tcW w:w="480" w:type="dxa"/>
            <w:shd w:val="clear" w:color="auto" w:fill="auto"/>
            <w:noWrap/>
            <w:vAlign w:val="center"/>
            <w:hideMark/>
          </w:tcPr>
          <w:p w:rsidR="009A08A9" w:rsidRPr="009A08A9" w:rsidRDefault="009A08A9" w:rsidP="009A08A9">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7,6</w:t>
            </w:r>
          </w:p>
        </w:tc>
        <w:tc>
          <w:tcPr>
            <w:tcW w:w="480" w:type="dxa"/>
            <w:shd w:val="clear" w:color="auto" w:fill="auto"/>
            <w:noWrap/>
            <w:vAlign w:val="center"/>
            <w:hideMark/>
          </w:tcPr>
          <w:p w:rsidR="009A08A9" w:rsidRPr="009A08A9" w:rsidRDefault="009A08A9" w:rsidP="009A08A9">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3,53</w:t>
            </w:r>
          </w:p>
        </w:tc>
        <w:tc>
          <w:tcPr>
            <w:tcW w:w="480" w:type="dxa"/>
            <w:shd w:val="clear" w:color="auto" w:fill="auto"/>
            <w:noWrap/>
            <w:vAlign w:val="center"/>
            <w:hideMark/>
          </w:tcPr>
          <w:p w:rsidR="009A08A9" w:rsidRPr="009A08A9" w:rsidRDefault="009A08A9" w:rsidP="009A08A9">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5,43</w:t>
            </w:r>
          </w:p>
        </w:tc>
        <w:tc>
          <w:tcPr>
            <w:tcW w:w="480" w:type="dxa"/>
            <w:shd w:val="clear" w:color="auto" w:fill="auto"/>
            <w:noWrap/>
            <w:vAlign w:val="center"/>
            <w:hideMark/>
          </w:tcPr>
          <w:p w:rsidR="009A08A9" w:rsidRPr="009A08A9" w:rsidRDefault="009A08A9" w:rsidP="009A08A9">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4,05</w:t>
            </w:r>
          </w:p>
        </w:tc>
        <w:tc>
          <w:tcPr>
            <w:tcW w:w="480" w:type="dxa"/>
            <w:shd w:val="clear" w:color="auto" w:fill="auto"/>
            <w:noWrap/>
            <w:vAlign w:val="center"/>
            <w:hideMark/>
          </w:tcPr>
          <w:p w:rsidR="009A08A9" w:rsidRPr="009A08A9" w:rsidRDefault="009A08A9" w:rsidP="009A08A9">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4,17</w:t>
            </w:r>
          </w:p>
        </w:tc>
        <w:tc>
          <w:tcPr>
            <w:tcW w:w="480" w:type="dxa"/>
            <w:shd w:val="clear" w:color="auto" w:fill="auto"/>
            <w:noWrap/>
            <w:vAlign w:val="center"/>
            <w:hideMark/>
          </w:tcPr>
          <w:p w:rsidR="009A08A9" w:rsidRPr="009A08A9" w:rsidRDefault="009A08A9" w:rsidP="009A08A9">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4,02</w:t>
            </w:r>
          </w:p>
        </w:tc>
        <w:tc>
          <w:tcPr>
            <w:tcW w:w="480" w:type="dxa"/>
            <w:shd w:val="clear" w:color="auto" w:fill="auto"/>
            <w:noWrap/>
            <w:vAlign w:val="center"/>
            <w:hideMark/>
          </w:tcPr>
          <w:p w:rsidR="009A08A9" w:rsidRPr="009A08A9" w:rsidRDefault="009A08A9" w:rsidP="009A08A9">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1,96</w:t>
            </w:r>
          </w:p>
        </w:tc>
        <w:tc>
          <w:tcPr>
            <w:tcW w:w="480" w:type="dxa"/>
            <w:shd w:val="clear" w:color="auto" w:fill="auto"/>
            <w:noWrap/>
            <w:vAlign w:val="center"/>
            <w:hideMark/>
          </w:tcPr>
          <w:p w:rsidR="009A08A9" w:rsidRPr="009A08A9" w:rsidRDefault="009A08A9" w:rsidP="009A08A9">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4,76</w:t>
            </w:r>
          </w:p>
        </w:tc>
        <w:tc>
          <w:tcPr>
            <w:tcW w:w="480" w:type="dxa"/>
            <w:shd w:val="clear" w:color="auto" w:fill="auto"/>
            <w:noWrap/>
            <w:vAlign w:val="center"/>
            <w:hideMark/>
          </w:tcPr>
          <w:p w:rsidR="009A08A9" w:rsidRPr="009A08A9" w:rsidRDefault="009A08A9" w:rsidP="009A08A9">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2,78</w:t>
            </w:r>
          </w:p>
        </w:tc>
        <w:tc>
          <w:tcPr>
            <w:tcW w:w="480" w:type="dxa"/>
            <w:shd w:val="clear" w:color="auto" w:fill="auto"/>
            <w:noWrap/>
            <w:vAlign w:val="center"/>
            <w:hideMark/>
          </w:tcPr>
          <w:p w:rsidR="009A08A9" w:rsidRPr="009A08A9" w:rsidRDefault="009A08A9" w:rsidP="009A08A9">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2,27</w:t>
            </w:r>
          </w:p>
        </w:tc>
        <w:tc>
          <w:tcPr>
            <w:tcW w:w="480" w:type="dxa"/>
            <w:shd w:val="clear" w:color="auto" w:fill="auto"/>
            <w:noWrap/>
            <w:vAlign w:val="center"/>
            <w:hideMark/>
          </w:tcPr>
          <w:p w:rsidR="009A08A9" w:rsidRPr="009A08A9" w:rsidRDefault="009A08A9" w:rsidP="009A08A9">
            <w:pPr>
              <w:spacing w:after="0" w:line="240" w:lineRule="auto"/>
              <w:jc w:val="center"/>
              <w:rPr>
                <w:rFonts w:ascii="Calibri" w:eastAsia="Times New Roman" w:hAnsi="Calibri" w:cs="Calibri"/>
                <w:color w:val="FF0000"/>
                <w:sz w:val="18"/>
                <w:szCs w:val="18"/>
                <w:lang w:eastAsia="pl-PL"/>
              </w:rPr>
            </w:pPr>
            <w:r w:rsidRPr="009A08A9">
              <w:rPr>
                <w:rFonts w:ascii="Calibri" w:eastAsia="Times New Roman" w:hAnsi="Calibri" w:cs="Calibri"/>
                <w:color w:val="FF0000"/>
                <w:sz w:val="18"/>
                <w:szCs w:val="18"/>
                <w:lang w:eastAsia="pl-PL"/>
              </w:rPr>
              <w:t>2,40</w:t>
            </w:r>
          </w:p>
        </w:tc>
      </w:tr>
    </w:tbl>
    <w:p w:rsidR="009A08A9" w:rsidRPr="009A08A9" w:rsidRDefault="00763DD6" w:rsidP="009A08A9">
      <w:pPr>
        <w:pStyle w:val="Legenda"/>
      </w:pPr>
      <w:r>
        <w:rPr>
          <w:noProof/>
          <w:lang w:eastAsia="pl-PL"/>
        </w:rPr>
        <w:drawing>
          <wp:anchor distT="0" distB="0" distL="114300" distR="114300" simplePos="0" relativeHeight="251664384" behindDoc="1" locked="0" layoutInCell="1" allowOverlap="1" wp14:anchorId="3CDAD8FA" wp14:editId="32C2C417">
            <wp:simplePos x="0" y="0"/>
            <wp:positionH relativeFrom="column">
              <wp:posOffset>1200785</wp:posOffset>
            </wp:positionH>
            <wp:positionV relativeFrom="paragraph">
              <wp:posOffset>238760</wp:posOffset>
            </wp:positionV>
            <wp:extent cx="2537460" cy="3408680"/>
            <wp:effectExtent l="0" t="0" r="0" b="1270"/>
            <wp:wrapTight wrapText="bothSides">
              <wp:wrapPolygon edited="0">
                <wp:start x="0" y="0"/>
                <wp:lineTo x="0" y="21487"/>
                <wp:lineTo x="21405" y="21487"/>
                <wp:lineTo x="21405"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7460" cy="340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8A9" w:rsidRPr="00FB4E3B">
        <w:t xml:space="preserve">Źródło: </w:t>
      </w:r>
      <w:r w:rsidR="009A08A9">
        <w:t>opracowanie własne na podstawie danych GUS oraz CEIDG</w:t>
      </w:r>
    </w:p>
    <w:p w:rsidR="000C01C6" w:rsidRDefault="009A08A9" w:rsidP="009A08A9">
      <w:pPr>
        <w:pStyle w:val="Legenda"/>
      </w:pPr>
      <w:bookmarkStart w:id="101" w:name="_Toc495887786"/>
      <w:r>
        <w:t xml:space="preserve">Mapa </w:t>
      </w:r>
      <w:r w:rsidR="00172343">
        <w:fldChar w:fldCharType="begin"/>
      </w:r>
      <w:r w:rsidR="00172343">
        <w:instrText xml:space="preserve"> SEQ Mapa \* ARABIC </w:instrText>
      </w:r>
      <w:r w:rsidR="00172343">
        <w:fldChar w:fldCharType="separate"/>
      </w:r>
      <w:r w:rsidR="00883893">
        <w:rPr>
          <w:noProof/>
        </w:rPr>
        <w:t>10</w:t>
      </w:r>
      <w:r w:rsidR="00172343">
        <w:rPr>
          <w:noProof/>
        </w:rPr>
        <w:fldChar w:fldCharType="end"/>
      </w:r>
      <w:r>
        <w:t xml:space="preserve"> </w:t>
      </w:r>
      <w:r w:rsidRPr="009A08A9">
        <w:t>Wskaźnik referencyjny oraz wskaźnik „Liczba zarejestrowanych podmiotów gospodarczych w rejestrze REGON w przeliczeniu na 100 osób wg faktycznego miejsca zamieszkania - ogółem” dla poszczególnych miejscowości</w:t>
      </w:r>
      <w:bookmarkEnd w:id="101"/>
    </w:p>
    <w:p w:rsidR="000C01C6" w:rsidRDefault="000C01C6" w:rsidP="00314DA1">
      <w:pPr>
        <w:pStyle w:val="Bezodstpw"/>
      </w:pPr>
    </w:p>
    <w:p w:rsidR="00314DA1" w:rsidRDefault="00314DA1" w:rsidP="00314DA1">
      <w:pPr>
        <w:pStyle w:val="Bezodstpw"/>
      </w:pPr>
    </w:p>
    <w:p w:rsidR="009A08A9" w:rsidRDefault="009A08A9" w:rsidP="00314DA1">
      <w:pPr>
        <w:pStyle w:val="Bezodstpw"/>
      </w:pPr>
    </w:p>
    <w:p w:rsidR="009A08A9" w:rsidRDefault="009A08A9" w:rsidP="00314DA1">
      <w:pPr>
        <w:pStyle w:val="Bezodstpw"/>
      </w:pPr>
    </w:p>
    <w:p w:rsidR="009A08A9" w:rsidRDefault="009A08A9" w:rsidP="00314DA1">
      <w:pPr>
        <w:pStyle w:val="Bezodstpw"/>
      </w:pPr>
    </w:p>
    <w:p w:rsidR="009A08A9" w:rsidRDefault="009A08A9" w:rsidP="00314DA1">
      <w:pPr>
        <w:pStyle w:val="Bezodstpw"/>
      </w:pPr>
    </w:p>
    <w:p w:rsidR="009A08A9" w:rsidRDefault="009A08A9" w:rsidP="00314DA1">
      <w:pPr>
        <w:pStyle w:val="Bezodstpw"/>
      </w:pPr>
    </w:p>
    <w:p w:rsidR="009A08A9" w:rsidRDefault="009A08A9" w:rsidP="00314DA1">
      <w:pPr>
        <w:pStyle w:val="Bezodstpw"/>
      </w:pPr>
    </w:p>
    <w:p w:rsidR="009A08A9" w:rsidRDefault="009A08A9" w:rsidP="00314DA1">
      <w:pPr>
        <w:pStyle w:val="Bezodstpw"/>
      </w:pPr>
    </w:p>
    <w:p w:rsidR="009A08A9" w:rsidRDefault="009A08A9" w:rsidP="00314DA1">
      <w:pPr>
        <w:pStyle w:val="Bezodstpw"/>
      </w:pPr>
    </w:p>
    <w:p w:rsidR="009A08A9" w:rsidRDefault="009A08A9" w:rsidP="00314DA1">
      <w:pPr>
        <w:pStyle w:val="Bezodstpw"/>
      </w:pPr>
    </w:p>
    <w:p w:rsidR="009A08A9" w:rsidRDefault="009A08A9" w:rsidP="00314DA1">
      <w:pPr>
        <w:pStyle w:val="Bezodstpw"/>
      </w:pPr>
    </w:p>
    <w:p w:rsidR="009A08A9" w:rsidRDefault="009A08A9" w:rsidP="00314DA1">
      <w:pPr>
        <w:pStyle w:val="Bezodstpw"/>
      </w:pPr>
    </w:p>
    <w:p w:rsidR="009A08A9" w:rsidRDefault="009A08A9" w:rsidP="00314DA1">
      <w:pPr>
        <w:pStyle w:val="Bezodstpw"/>
      </w:pPr>
    </w:p>
    <w:p w:rsidR="009A08A9" w:rsidRDefault="009A08A9" w:rsidP="00314DA1">
      <w:pPr>
        <w:pStyle w:val="Bezodstpw"/>
      </w:pPr>
    </w:p>
    <w:p w:rsidR="009A08A9" w:rsidRPr="009A08A9" w:rsidRDefault="009A08A9" w:rsidP="009A08A9">
      <w:pPr>
        <w:pStyle w:val="Legenda"/>
      </w:pPr>
      <w:r w:rsidRPr="00FB4E3B">
        <w:t xml:space="preserve">Źródło: </w:t>
      </w:r>
      <w:r>
        <w:t>opracowanie własne na podstawie danych GUS oraz CEIDG</w:t>
      </w:r>
    </w:p>
    <w:p w:rsidR="009A08A9" w:rsidRDefault="009A08A9" w:rsidP="00314DA1">
      <w:pPr>
        <w:pStyle w:val="Bezodstpw"/>
      </w:pPr>
    </w:p>
    <w:p w:rsidR="00314DA1" w:rsidRDefault="00314DA1" w:rsidP="00763DD6">
      <w:pPr>
        <w:pStyle w:val="Bezodstpw"/>
        <w:spacing w:line="276" w:lineRule="auto"/>
        <w:jc w:val="both"/>
      </w:pPr>
      <w:r>
        <w:t xml:space="preserve">12. </w:t>
      </w:r>
      <w:r w:rsidRPr="00314DA1">
        <w:t>Liczba zarejestrowanych podmiotów gospodarczych w rejestrze REGON w</w:t>
      </w:r>
      <w:r>
        <w:t xml:space="preserve"> </w:t>
      </w:r>
      <w:r w:rsidRPr="00314DA1">
        <w:t>przeliczeniu na 100 osób wg faktycznego miejsca zamieszkania – obszar wiejski</w:t>
      </w:r>
      <w:r w:rsidR="000C01C6">
        <w:t xml:space="preserve"> [jak </w:t>
      </w:r>
      <w:r w:rsidR="009A08A9">
        <w:t>wskaźnik 11</w:t>
      </w:r>
      <w:r w:rsidR="000C01C6">
        <w:t>]</w:t>
      </w:r>
    </w:p>
    <w:p w:rsidR="00314DA1" w:rsidRDefault="00F25FE9" w:rsidP="00763DD6">
      <w:pPr>
        <w:pStyle w:val="Bezodstpw"/>
        <w:spacing w:line="276" w:lineRule="auto"/>
        <w:jc w:val="both"/>
      </w:pPr>
      <w:r>
        <w:br/>
      </w:r>
    </w:p>
    <w:p w:rsidR="00314DA1" w:rsidRDefault="00314DA1" w:rsidP="00763DD6">
      <w:pPr>
        <w:pStyle w:val="Bezodstpw"/>
        <w:spacing w:line="276" w:lineRule="auto"/>
        <w:jc w:val="both"/>
      </w:pPr>
      <w:r>
        <w:t xml:space="preserve">13. </w:t>
      </w:r>
      <w:r w:rsidRPr="00314DA1">
        <w:t>Liczba zarejestrowanych podmiotów gospodarczych w rejestrze REGON w przeliczeniu na 100 osób wg faktycznego miejsca zamieszkania – obszar miejski</w:t>
      </w:r>
      <w:r>
        <w:t xml:space="preserve"> [nie dotyczy gminy Tryńcza]</w:t>
      </w:r>
    </w:p>
    <w:p w:rsidR="00314DA1" w:rsidRDefault="00F25FE9" w:rsidP="00763DD6">
      <w:pPr>
        <w:pStyle w:val="Bezodstpw"/>
        <w:spacing w:line="276" w:lineRule="auto"/>
        <w:jc w:val="both"/>
      </w:pPr>
      <w:r>
        <w:br/>
      </w:r>
    </w:p>
    <w:p w:rsidR="00314DA1" w:rsidRDefault="000C01C6" w:rsidP="00763DD6">
      <w:pPr>
        <w:pStyle w:val="Bezodstpw"/>
        <w:spacing w:line="276" w:lineRule="auto"/>
        <w:jc w:val="both"/>
      </w:pPr>
      <w:r>
        <w:t xml:space="preserve">14. </w:t>
      </w:r>
      <w:r w:rsidRPr="000C01C6">
        <w:t xml:space="preserve">Liczba nowo zarejestrowanych podmiotów gospodarczych w rejestrze REGON w przeliczeniu na 100 osób wg faktycznego miejsca zamieszkania </w:t>
      </w:r>
      <w:r>
        <w:t>–</w:t>
      </w:r>
      <w:r w:rsidRPr="000C01C6">
        <w:t xml:space="preserve"> ogółem</w:t>
      </w:r>
    </w:p>
    <w:p w:rsidR="000C01C6" w:rsidRDefault="000C01C6" w:rsidP="00763DD6">
      <w:pPr>
        <w:pStyle w:val="Bezodstpw"/>
        <w:spacing w:line="276" w:lineRule="auto"/>
      </w:pPr>
    </w:p>
    <w:p w:rsidR="009A08A9" w:rsidRDefault="009A08A9" w:rsidP="00763DD6">
      <w:pPr>
        <w:pStyle w:val="Bezodstpw"/>
        <w:spacing w:line="276" w:lineRule="auto"/>
        <w:ind w:firstLine="360"/>
        <w:jc w:val="both"/>
      </w:pPr>
      <w:r>
        <w:t xml:space="preserve">W związku z niskim wskaźnikiem nasycenia przedsiębiorczością (ogółem) </w:t>
      </w:r>
      <w:r w:rsidR="00F25FE9">
        <w:t xml:space="preserve">oraz niższym niż dane referencyjne dla województwa podkarpackiego wskaźnika – jakim jest liczba nowo zarejestrowanych przedsiębiorstw w rejestrze REGON [wartość referencyjna 0,7 dla województwa, 0,52 dla gminy Tryńcza) </w:t>
      </w:r>
      <w:r>
        <w:t>nie poddawano</w:t>
      </w:r>
      <w:r w:rsidR="00F25FE9">
        <w:t xml:space="preserve"> wskaźnika szczegółowej analizie  w podziale na miejscowości gminy. </w:t>
      </w:r>
      <w:r>
        <w:t xml:space="preserve"> </w:t>
      </w:r>
    </w:p>
    <w:p w:rsidR="009A08A9" w:rsidRDefault="009A08A9" w:rsidP="00763DD6">
      <w:pPr>
        <w:pStyle w:val="Bezodstpw"/>
        <w:spacing w:line="276" w:lineRule="auto"/>
      </w:pPr>
    </w:p>
    <w:p w:rsidR="000C01C6" w:rsidRDefault="00F25FE9" w:rsidP="00763DD6">
      <w:pPr>
        <w:pStyle w:val="Bezodstpw"/>
        <w:spacing w:line="276" w:lineRule="auto"/>
      </w:pPr>
      <w:r>
        <w:br/>
      </w:r>
      <w:r w:rsidR="000C01C6">
        <w:t xml:space="preserve">15. </w:t>
      </w:r>
      <w:r w:rsidR="000C01C6" w:rsidRPr="000C01C6">
        <w:t xml:space="preserve">Liczba nowo zarejestrowanych podmiotów gospodarczych w rejestrze REGON w przeliczeniu na 100 osób wg faktycznego miejsca zamieszkania - </w:t>
      </w:r>
      <w:r w:rsidR="000C01C6" w:rsidRPr="00314DA1">
        <w:t>obszar wiejski</w:t>
      </w:r>
      <w:r w:rsidR="000C01C6">
        <w:t xml:space="preserve"> </w:t>
      </w:r>
    </w:p>
    <w:p w:rsidR="00F25FE9" w:rsidRDefault="00F25FE9" w:rsidP="00763DD6">
      <w:pPr>
        <w:pStyle w:val="Bezodstpw"/>
        <w:spacing w:line="276" w:lineRule="auto"/>
      </w:pPr>
    </w:p>
    <w:p w:rsidR="00F25FE9" w:rsidRDefault="00F25FE9" w:rsidP="00763DD6">
      <w:pPr>
        <w:pStyle w:val="Bezodstpw"/>
        <w:spacing w:line="276" w:lineRule="auto"/>
        <w:ind w:firstLine="360"/>
        <w:jc w:val="both"/>
      </w:pPr>
      <w:r>
        <w:t xml:space="preserve">W związku z niskim wskaźnikiem nasycenia przedsiębiorczością (ogółem) oraz niższym niż dane referencyjne dla województwa podkarpackiego wskaźnika – jakim jest liczba nowo zarejestrowanych przedsiębiorstw w rejestrze REGON [wartość referencyjna 0,6 dla województwa w obszarach wiejskich przy wartości 0,52 dla gminy Tryńcza] nie poddawano wskaźnika szczegółowej analizie  w podziale na miejscowości gminy.  </w:t>
      </w:r>
    </w:p>
    <w:p w:rsidR="00F25FE9" w:rsidRDefault="00F25FE9" w:rsidP="00763DD6">
      <w:pPr>
        <w:pStyle w:val="Bezodstpw"/>
        <w:spacing w:line="276" w:lineRule="auto"/>
      </w:pPr>
    </w:p>
    <w:p w:rsidR="000C01C6" w:rsidRDefault="000C01C6" w:rsidP="00763DD6">
      <w:pPr>
        <w:pStyle w:val="Bezodstpw"/>
        <w:spacing w:line="276" w:lineRule="auto"/>
      </w:pPr>
    </w:p>
    <w:p w:rsidR="000C01C6" w:rsidRDefault="000C01C6" w:rsidP="00763DD6">
      <w:pPr>
        <w:pStyle w:val="Bezodstpw"/>
        <w:spacing w:line="276" w:lineRule="auto"/>
        <w:jc w:val="both"/>
      </w:pPr>
      <w:r>
        <w:t xml:space="preserve">16. </w:t>
      </w:r>
      <w:r w:rsidRPr="000C01C6">
        <w:t>Liczba nowo zarejestrowanych podmiotów gospodarczych w rejestrze REGON w przeliczeniu na 100 osób wg fa</w:t>
      </w:r>
      <w:r>
        <w:t xml:space="preserve">ktycznego miejsca zamieszkania </w:t>
      </w:r>
      <w:r w:rsidRPr="00314DA1">
        <w:t>– obszar miejski</w:t>
      </w:r>
      <w:r>
        <w:t xml:space="preserve"> [nie dotyczy gminy Tryńcza]</w:t>
      </w:r>
    </w:p>
    <w:p w:rsidR="000C01C6" w:rsidRDefault="000C01C6" w:rsidP="00763DD6">
      <w:pPr>
        <w:pStyle w:val="Bezodstpw"/>
        <w:spacing w:line="276" w:lineRule="auto"/>
      </w:pPr>
    </w:p>
    <w:p w:rsidR="009A08A9" w:rsidRDefault="009A08A9" w:rsidP="00763DD6">
      <w:pPr>
        <w:ind w:firstLine="360"/>
        <w:jc w:val="both"/>
      </w:pPr>
      <w:r>
        <w:t>Tym samym w kategorii podmioty gospodarcze następujące miejscowości spełniają wymagane minimum: Głogowiec, Ubieszyn, Tryńcza, Wólka Małkowa, Wólka Ogryzkowa, Gorzyce, Gniewczyna Tryniecka, Gniewczyna Łańcucka i Jagiełła (tzn. wszystkie miejscowości gminne).</w:t>
      </w:r>
    </w:p>
    <w:p w:rsidR="000C01C6" w:rsidRDefault="000C01C6" w:rsidP="00314DA1">
      <w:pPr>
        <w:pStyle w:val="Bezodstpw"/>
      </w:pPr>
    </w:p>
    <w:p w:rsidR="00F25FE9" w:rsidRDefault="00F25FE9" w:rsidP="00314DA1">
      <w:pPr>
        <w:pStyle w:val="Bezodstpw"/>
      </w:pPr>
    </w:p>
    <w:p w:rsidR="00F25FE9" w:rsidRDefault="00F25FE9" w:rsidP="00314DA1">
      <w:pPr>
        <w:pStyle w:val="Bezodstpw"/>
      </w:pPr>
    </w:p>
    <w:p w:rsidR="00763DD6" w:rsidRDefault="00763DD6" w:rsidP="00314DA1">
      <w:pPr>
        <w:pStyle w:val="Bezodstpw"/>
      </w:pPr>
    </w:p>
    <w:p w:rsidR="00763DD6" w:rsidRDefault="00763DD6" w:rsidP="00314DA1">
      <w:pPr>
        <w:pStyle w:val="Bezodstpw"/>
      </w:pPr>
    </w:p>
    <w:p w:rsidR="00763DD6" w:rsidRDefault="00763DD6" w:rsidP="00314DA1">
      <w:pPr>
        <w:pStyle w:val="Bezodstpw"/>
      </w:pPr>
    </w:p>
    <w:p w:rsidR="00763DD6" w:rsidRDefault="00763DD6" w:rsidP="00314DA1">
      <w:pPr>
        <w:pStyle w:val="Bezodstpw"/>
      </w:pPr>
    </w:p>
    <w:p w:rsidR="00763DD6" w:rsidRDefault="00763DD6" w:rsidP="00314DA1">
      <w:pPr>
        <w:pStyle w:val="Bezodstpw"/>
      </w:pPr>
    </w:p>
    <w:p w:rsidR="00763DD6" w:rsidRDefault="00763DD6" w:rsidP="00314DA1">
      <w:pPr>
        <w:pStyle w:val="Bezodstpw"/>
      </w:pPr>
    </w:p>
    <w:p w:rsidR="00763DD6" w:rsidRDefault="00763DD6" w:rsidP="00314DA1">
      <w:pPr>
        <w:pStyle w:val="Bezodstpw"/>
      </w:pPr>
    </w:p>
    <w:p w:rsidR="000C01C6" w:rsidRDefault="000C01C6" w:rsidP="000C01C6">
      <w:pPr>
        <w:pStyle w:val="Nagwek2"/>
      </w:pPr>
      <w:bookmarkStart w:id="102" w:name="_Toc496558084"/>
      <w:r>
        <w:lastRenderedPageBreak/>
        <w:t>Kategoria</w:t>
      </w:r>
      <w:r w:rsidR="007446A0">
        <w:t>:</w:t>
      </w:r>
      <w:r>
        <w:t xml:space="preserve"> bezpieczeństwo publiczne</w:t>
      </w:r>
      <w:bookmarkEnd w:id="102"/>
    </w:p>
    <w:p w:rsidR="000C01C6" w:rsidRDefault="000C01C6" w:rsidP="000C01C6">
      <w:pPr>
        <w:pStyle w:val="Bezodstpw"/>
        <w:ind w:firstLine="708"/>
        <w:jc w:val="both"/>
      </w:pPr>
    </w:p>
    <w:p w:rsidR="000C01C6" w:rsidRDefault="000C01C6" w:rsidP="000C01C6">
      <w:pPr>
        <w:pStyle w:val="Bezodstpw"/>
        <w:ind w:firstLine="708"/>
        <w:jc w:val="both"/>
      </w:pPr>
      <w:r>
        <w:t xml:space="preserve">Zgodnie z </w:t>
      </w:r>
      <w:r w:rsidRPr="007C3562">
        <w:rPr>
          <w:i/>
        </w:rPr>
        <w:t xml:space="preserve">Instrukcją </w:t>
      </w:r>
      <w:r>
        <w:t xml:space="preserve">w kategorii bezpieczeństwo publiczne określono wskaźnik: 17. </w:t>
      </w:r>
      <w:r w:rsidRPr="000C01C6">
        <w:t>Liczba stwierdzonych przestępstw ogółem w przeliczeniu na 100 osób wg faktycznego miejsca zamieszkania</w:t>
      </w:r>
      <w:r>
        <w:t xml:space="preserve">. W związku z tym, że liczba stwierdzonych przestępstw w ciągu roku na terenie całej Gminy (w tym kolizji i </w:t>
      </w:r>
      <w:r w:rsidR="009A08A9">
        <w:t>wykroczeń</w:t>
      </w:r>
      <w:r>
        <w:t>) jest znikoma nie poddawano pogłębionej analizie tego wskaźnika dla poszczególnych miejscowości.</w:t>
      </w:r>
    </w:p>
    <w:p w:rsidR="000C01C6" w:rsidRDefault="000C01C6" w:rsidP="000C01C6">
      <w:pPr>
        <w:pStyle w:val="Bezodstpw"/>
        <w:ind w:firstLine="708"/>
        <w:jc w:val="both"/>
      </w:pPr>
    </w:p>
    <w:p w:rsidR="000C01C6" w:rsidRDefault="000C01C6" w:rsidP="000C01C6">
      <w:pPr>
        <w:pStyle w:val="Legenda"/>
      </w:pPr>
      <w:bookmarkStart w:id="103" w:name="_Toc495887812"/>
      <w:r>
        <w:t xml:space="preserve">Tabela </w:t>
      </w:r>
      <w:r w:rsidR="00172343">
        <w:fldChar w:fldCharType="begin"/>
      </w:r>
      <w:r w:rsidR="00172343">
        <w:instrText xml:space="preserve"> SEQ Tabela \* ARABIC </w:instrText>
      </w:r>
      <w:r w:rsidR="00172343">
        <w:fldChar w:fldCharType="separate"/>
      </w:r>
      <w:r w:rsidR="00D67FEC">
        <w:rPr>
          <w:noProof/>
        </w:rPr>
        <w:t>23</w:t>
      </w:r>
      <w:r w:rsidR="00172343">
        <w:rPr>
          <w:noProof/>
        </w:rPr>
        <w:fldChar w:fldCharType="end"/>
      </w:r>
      <w:r>
        <w:t xml:space="preserve"> Dane dotyczące kategorii bezpieczeństwo publiczne</w:t>
      </w:r>
      <w:bookmarkEnd w:id="103"/>
    </w:p>
    <w:tbl>
      <w:tblPr>
        <w:tblW w:w="90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4"/>
        <w:gridCol w:w="530"/>
        <w:gridCol w:w="530"/>
        <w:gridCol w:w="530"/>
        <w:gridCol w:w="530"/>
        <w:gridCol w:w="530"/>
        <w:gridCol w:w="530"/>
        <w:gridCol w:w="530"/>
        <w:gridCol w:w="530"/>
        <w:gridCol w:w="641"/>
        <w:gridCol w:w="530"/>
        <w:gridCol w:w="459"/>
      </w:tblGrid>
      <w:tr w:rsidR="009A08A9" w:rsidRPr="009A08A9" w:rsidTr="009A08A9">
        <w:trPr>
          <w:trHeight w:val="2472"/>
        </w:trPr>
        <w:tc>
          <w:tcPr>
            <w:tcW w:w="3134" w:type="dxa"/>
            <w:shd w:val="clear" w:color="auto" w:fill="auto"/>
            <w:textDirection w:val="btLr"/>
            <w:vAlign w:val="bottom"/>
            <w:hideMark/>
          </w:tcPr>
          <w:p w:rsidR="000C01C6" w:rsidRPr="000C01C6" w:rsidRDefault="000C01C6" w:rsidP="000C01C6">
            <w:pPr>
              <w:spacing w:after="0" w:line="240" w:lineRule="auto"/>
              <w:rPr>
                <w:rFonts w:eastAsia="Times New Roman" w:cstheme="minorHAnsi"/>
                <w:color w:val="000000"/>
                <w:sz w:val="18"/>
                <w:szCs w:val="18"/>
                <w:lang w:eastAsia="pl-PL"/>
              </w:rPr>
            </w:pPr>
            <w:r w:rsidRPr="000C01C6">
              <w:rPr>
                <w:rFonts w:eastAsia="Times New Roman" w:cstheme="minorHAnsi"/>
                <w:color w:val="000000"/>
                <w:sz w:val="18"/>
                <w:szCs w:val="18"/>
                <w:lang w:eastAsia="pl-PL"/>
              </w:rPr>
              <w:t> </w:t>
            </w:r>
          </w:p>
        </w:tc>
        <w:tc>
          <w:tcPr>
            <w:tcW w:w="530" w:type="dxa"/>
            <w:shd w:val="clear" w:color="auto" w:fill="auto"/>
            <w:textDirection w:val="btLr"/>
            <w:vAlign w:val="center"/>
            <w:hideMark/>
          </w:tcPr>
          <w:p w:rsidR="000C01C6" w:rsidRPr="000C01C6" w:rsidRDefault="000C01C6" w:rsidP="000C01C6">
            <w:pPr>
              <w:spacing w:after="0" w:line="240" w:lineRule="auto"/>
              <w:jc w:val="center"/>
              <w:rPr>
                <w:rFonts w:eastAsia="Times New Roman" w:cstheme="minorHAnsi"/>
                <w:color w:val="FF0000"/>
                <w:sz w:val="18"/>
                <w:szCs w:val="18"/>
                <w:lang w:eastAsia="pl-PL"/>
              </w:rPr>
            </w:pPr>
            <w:r w:rsidRPr="000C01C6">
              <w:rPr>
                <w:rFonts w:eastAsia="Times New Roman" w:cstheme="minorHAnsi"/>
                <w:color w:val="FF0000"/>
                <w:sz w:val="18"/>
                <w:szCs w:val="18"/>
                <w:lang w:eastAsia="pl-PL"/>
              </w:rPr>
              <w:t>dane referencyjne 2014</w:t>
            </w:r>
          </w:p>
        </w:tc>
        <w:tc>
          <w:tcPr>
            <w:tcW w:w="530" w:type="dxa"/>
            <w:shd w:val="clear" w:color="auto" w:fill="auto"/>
            <w:textDirection w:val="btLr"/>
            <w:vAlign w:val="center"/>
            <w:hideMark/>
          </w:tcPr>
          <w:p w:rsidR="000C01C6" w:rsidRPr="000C01C6" w:rsidRDefault="000C01C6" w:rsidP="000C01C6">
            <w:pPr>
              <w:spacing w:after="0" w:line="240" w:lineRule="auto"/>
              <w:jc w:val="center"/>
              <w:rPr>
                <w:rFonts w:eastAsia="Times New Roman" w:cstheme="minorHAnsi"/>
                <w:color w:val="000000"/>
                <w:sz w:val="18"/>
                <w:szCs w:val="18"/>
                <w:lang w:eastAsia="pl-PL"/>
              </w:rPr>
            </w:pPr>
            <w:r w:rsidRPr="000C01C6">
              <w:rPr>
                <w:rFonts w:eastAsia="Times New Roman" w:cstheme="minorHAnsi"/>
                <w:color w:val="000000"/>
                <w:sz w:val="18"/>
                <w:szCs w:val="18"/>
                <w:lang w:eastAsia="pl-PL"/>
              </w:rPr>
              <w:t>Gmina Tryńcza</w:t>
            </w:r>
          </w:p>
        </w:tc>
        <w:tc>
          <w:tcPr>
            <w:tcW w:w="530" w:type="dxa"/>
            <w:shd w:val="clear" w:color="000000" w:fill="FDE9D9"/>
            <w:textDirection w:val="btLr"/>
            <w:vAlign w:val="center"/>
            <w:hideMark/>
          </w:tcPr>
          <w:p w:rsidR="000C01C6" w:rsidRPr="000C01C6" w:rsidRDefault="000C01C6" w:rsidP="000C01C6">
            <w:pPr>
              <w:spacing w:after="0" w:line="240" w:lineRule="auto"/>
              <w:jc w:val="center"/>
              <w:rPr>
                <w:rFonts w:eastAsia="Times New Roman" w:cstheme="minorHAnsi"/>
                <w:color w:val="000000"/>
                <w:sz w:val="18"/>
                <w:szCs w:val="18"/>
                <w:lang w:eastAsia="pl-PL"/>
              </w:rPr>
            </w:pPr>
            <w:r w:rsidRPr="000C01C6">
              <w:rPr>
                <w:rFonts w:eastAsia="Times New Roman" w:cstheme="minorHAnsi"/>
                <w:color w:val="000000"/>
                <w:sz w:val="18"/>
                <w:szCs w:val="18"/>
                <w:lang w:eastAsia="pl-PL"/>
              </w:rPr>
              <w:t>Głogowiec</w:t>
            </w:r>
          </w:p>
        </w:tc>
        <w:tc>
          <w:tcPr>
            <w:tcW w:w="530" w:type="dxa"/>
            <w:shd w:val="clear" w:color="000000" w:fill="DAEEF3"/>
            <w:textDirection w:val="btLr"/>
            <w:vAlign w:val="center"/>
            <w:hideMark/>
          </w:tcPr>
          <w:p w:rsidR="000C01C6" w:rsidRPr="000C01C6" w:rsidRDefault="000C01C6" w:rsidP="000C01C6">
            <w:pPr>
              <w:spacing w:after="0" w:line="240" w:lineRule="auto"/>
              <w:jc w:val="center"/>
              <w:rPr>
                <w:rFonts w:eastAsia="Times New Roman" w:cstheme="minorHAnsi"/>
                <w:color w:val="000000"/>
                <w:sz w:val="18"/>
                <w:szCs w:val="18"/>
                <w:lang w:eastAsia="pl-PL"/>
              </w:rPr>
            </w:pPr>
            <w:r w:rsidRPr="000C01C6">
              <w:rPr>
                <w:rFonts w:eastAsia="Times New Roman" w:cstheme="minorHAnsi"/>
                <w:color w:val="000000"/>
                <w:sz w:val="18"/>
                <w:szCs w:val="18"/>
                <w:lang w:eastAsia="pl-PL"/>
              </w:rPr>
              <w:t>Gniewczyna Łańcucka</w:t>
            </w:r>
          </w:p>
        </w:tc>
        <w:tc>
          <w:tcPr>
            <w:tcW w:w="530" w:type="dxa"/>
            <w:shd w:val="clear" w:color="auto" w:fill="auto"/>
            <w:textDirection w:val="btLr"/>
            <w:vAlign w:val="center"/>
            <w:hideMark/>
          </w:tcPr>
          <w:p w:rsidR="000C01C6" w:rsidRPr="000C01C6" w:rsidRDefault="000C01C6" w:rsidP="000C01C6">
            <w:pPr>
              <w:spacing w:after="0" w:line="240" w:lineRule="auto"/>
              <w:jc w:val="center"/>
              <w:rPr>
                <w:rFonts w:eastAsia="Times New Roman" w:cstheme="minorHAnsi"/>
                <w:color w:val="000000"/>
                <w:sz w:val="18"/>
                <w:szCs w:val="18"/>
                <w:lang w:eastAsia="pl-PL"/>
              </w:rPr>
            </w:pPr>
            <w:r w:rsidRPr="000C01C6">
              <w:rPr>
                <w:rFonts w:eastAsia="Times New Roman" w:cstheme="minorHAnsi"/>
                <w:color w:val="000000"/>
                <w:sz w:val="18"/>
                <w:szCs w:val="18"/>
                <w:lang w:eastAsia="pl-PL"/>
              </w:rPr>
              <w:t>Gniewczyna Tryniecka</w:t>
            </w:r>
          </w:p>
        </w:tc>
        <w:tc>
          <w:tcPr>
            <w:tcW w:w="530" w:type="dxa"/>
            <w:shd w:val="clear" w:color="000000" w:fill="E4DFEC"/>
            <w:textDirection w:val="btLr"/>
            <w:vAlign w:val="center"/>
            <w:hideMark/>
          </w:tcPr>
          <w:p w:rsidR="000C01C6" w:rsidRPr="000C01C6" w:rsidRDefault="000C01C6" w:rsidP="000C01C6">
            <w:pPr>
              <w:spacing w:after="0" w:line="240" w:lineRule="auto"/>
              <w:jc w:val="center"/>
              <w:rPr>
                <w:rFonts w:eastAsia="Times New Roman" w:cstheme="minorHAnsi"/>
                <w:color w:val="000000"/>
                <w:sz w:val="18"/>
                <w:szCs w:val="18"/>
                <w:lang w:eastAsia="pl-PL"/>
              </w:rPr>
            </w:pPr>
            <w:r w:rsidRPr="000C01C6">
              <w:rPr>
                <w:rFonts w:eastAsia="Times New Roman" w:cstheme="minorHAnsi"/>
                <w:color w:val="000000"/>
                <w:sz w:val="18"/>
                <w:szCs w:val="18"/>
                <w:lang w:eastAsia="pl-PL"/>
              </w:rPr>
              <w:t>Gorzyce</w:t>
            </w:r>
          </w:p>
        </w:tc>
        <w:tc>
          <w:tcPr>
            <w:tcW w:w="530" w:type="dxa"/>
            <w:shd w:val="clear" w:color="000000" w:fill="EBF1DE"/>
            <w:textDirection w:val="btLr"/>
            <w:vAlign w:val="center"/>
            <w:hideMark/>
          </w:tcPr>
          <w:p w:rsidR="000C01C6" w:rsidRPr="000C01C6" w:rsidRDefault="000C01C6" w:rsidP="000C01C6">
            <w:pPr>
              <w:spacing w:after="0" w:line="240" w:lineRule="auto"/>
              <w:jc w:val="center"/>
              <w:rPr>
                <w:rFonts w:eastAsia="Times New Roman" w:cstheme="minorHAnsi"/>
                <w:color w:val="000000"/>
                <w:sz w:val="18"/>
                <w:szCs w:val="18"/>
                <w:lang w:eastAsia="pl-PL"/>
              </w:rPr>
            </w:pPr>
            <w:r w:rsidRPr="000C01C6">
              <w:rPr>
                <w:rFonts w:eastAsia="Times New Roman" w:cstheme="minorHAnsi"/>
                <w:color w:val="000000"/>
                <w:sz w:val="18"/>
                <w:szCs w:val="18"/>
                <w:lang w:eastAsia="pl-PL"/>
              </w:rPr>
              <w:t>Jagiełła</w:t>
            </w:r>
          </w:p>
        </w:tc>
        <w:tc>
          <w:tcPr>
            <w:tcW w:w="530" w:type="dxa"/>
            <w:shd w:val="clear" w:color="auto" w:fill="auto"/>
            <w:textDirection w:val="btLr"/>
            <w:vAlign w:val="center"/>
            <w:hideMark/>
          </w:tcPr>
          <w:p w:rsidR="000C01C6" w:rsidRPr="000C01C6" w:rsidRDefault="000C01C6" w:rsidP="000C01C6">
            <w:pPr>
              <w:spacing w:after="0" w:line="240" w:lineRule="auto"/>
              <w:jc w:val="center"/>
              <w:rPr>
                <w:rFonts w:eastAsia="Times New Roman" w:cstheme="minorHAnsi"/>
                <w:color w:val="000000"/>
                <w:sz w:val="18"/>
                <w:szCs w:val="18"/>
                <w:lang w:eastAsia="pl-PL"/>
              </w:rPr>
            </w:pPr>
            <w:r w:rsidRPr="000C01C6">
              <w:rPr>
                <w:rFonts w:eastAsia="Times New Roman" w:cstheme="minorHAnsi"/>
                <w:color w:val="000000"/>
                <w:sz w:val="18"/>
                <w:szCs w:val="18"/>
                <w:lang w:eastAsia="pl-PL"/>
              </w:rPr>
              <w:t>Tryńcza</w:t>
            </w:r>
          </w:p>
        </w:tc>
        <w:tc>
          <w:tcPr>
            <w:tcW w:w="641" w:type="dxa"/>
            <w:shd w:val="clear" w:color="000000" w:fill="C5D9F1"/>
            <w:textDirection w:val="btLr"/>
            <w:vAlign w:val="center"/>
            <w:hideMark/>
          </w:tcPr>
          <w:p w:rsidR="000C01C6" w:rsidRPr="000C01C6" w:rsidRDefault="000C01C6" w:rsidP="000C01C6">
            <w:pPr>
              <w:spacing w:after="0" w:line="240" w:lineRule="auto"/>
              <w:jc w:val="center"/>
              <w:rPr>
                <w:rFonts w:eastAsia="Times New Roman" w:cstheme="minorHAnsi"/>
                <w:color w:val="000000"/>
                <w:sz w:val="18"/>
                <w:szCs w:val="18"/>
                <w:lang w:eastAsia="pl-PL"/>
              </w:rPr>
            </w:pPr>
            <w:r w:rsidRPr="000C01C6">
              <w:rPr>
                <w:rFonts w:eastAsia="Times New Roman" w:cstheme="minorHAnsi"/>
                <w:color w:val="000000"/>
                <w:sz w:val="18"/>
                <w:szCs w:val="18"/>
                <w:lang w:eastAsia="pl-PL"/>
              </w:rPr>
              <w:t>Ubieszyn</w:t>
            </w:r>
          </w:p>
        </w:tc>
        <w:tc>
          <w:tcPr>
            <w:tcW w:w="530" w:type="dxa"/>
            <w:shd w:val="clear" w:color="auto" w:fill="auto"/>
            <w:textDirection w:val="btLr"/>
            <w:vAlign w:val="center"/>
            <w:hideMark/>
          </w:tcPr>
          <w:p w:rsidR="000C01C6" w:rsidRPr="000C01C6" w:rsidRDefault="000C01C6" w:rsidP="000C01C6">
            <w:pPr>
              <w:spacing w:after="0" w:line="240" w:lineRule="auto"/>
              <w:jc w:val="center"/>
              <w:rPr>
                <w:rFonts w:eastAsia="Times New Roman" w:cstheme="minorHAnsi"/>
                <w:color w:val="000000"/>
                <w:sz w:val="18"/>
                <w:szCs w:val="18"/>
                <w:lang w:eastAsia="pl-PL"/>
              </w:rPr>
            </w:pPr>
            <w:r w:rsidRPr="000C01C6">
              <w:rPr>
                <w:rFonts w:eastAsia="Times New Roman" w:cstheme="minorHAnsi"/>
                <w:color w:val="000000"/>
                <w:sz w:val="18"/>
                <w:szCs w:val="18"/>
                <w:lang w:eastAsia="pl-PL"/>
              </w:rPr>
              <w:t>Wólka Małkowa</w:t>
            </w:r>
          </w:p>
        </w:tc>
        <w:tc>
          <w:tcPr>
            <w:tcW w:w="459" w:type="dxa"/>
            <w:shd w:val="clear" w:color="000000" w:fill="DDD9C4"/>
            <w:textDirection w:val="btLr"/>
            <w:vAlign w:val="center"/>
            <w:hideMark/>
          </w:tcPr>
          <w:p w:rsidR="000C01C6" w:rsidRPr="000C01C6" w:rsidRDefault="000C01C6" w:rsidP="000C01C6">
            <w:pPr>
              <w:spacing w:after="0" w:line="240" w:lineRule="auto"/>
              <w:jc w:val="center"/>
              <w:rPr>
                <w:rFonts w:eastAsia="Times New Roman" w:cstheme="minorHAnsi"/>
                <w:color w:val="000000"/>
                <w:sz w:val="18"/>
                <w:szCs w:val="18"/>
                <w:lang w:eastAsia="pl-PL"/>
              </w:rPr>
            </w:pPr>
            <w:r w:rsidRPr="000C01C6">
              <w:rPr>
                <w:rFonts w:eastAsia="Times New Roman" w:cstheme="minorHAnsi"/>
                <w:color w:val="000000"/>
                <w:sz w:val="18"/>
                <w:szCs w:val="18"/>
                <w:lang w:eastAsia="pl-PL"/>
              </w:rPr>
              <w:t>Wólka Ogryzkowa</w:t>
            </w:r>
          </w:p>
        </w:tc>
      </w:tr>
      <w:tr w:rsidR="009A08A9" w:rsidRPr="009A08A9" w:rsidTr="009A08A9">
        <w:trPr>
          <w:trHeight w:val="300"/>
        </w:trPr>
        <w:tc>
          <w:tcPr>
            <w:tcW w:w="3134" w:type="dxa"/>
            <w:shd w:val="clear" w:color="auto" w:fill="auto"/>
            <w:noWrap/>
            <w:vAlign w:val="bottom"/>
            <w:hideMark/>
          </w:tcPr>
          <w:p w:rsidR="000C01C6" w:rsidRPr="000C01C6" w:rsidRDefault="000C01C6" w:rsidP="000C01C6">
            <w:pPr>
              <w:spacing w:after="0" w:line="240" w:lineRule="auto"/>
              <w:rPr>
                <w:rFonts w:eastAsia="Times New Roman" w:cstheme="minorHAnsi"/>
                <w:sz w:val="18"/>
                <w:szCs w:val="18"/>
                <w:lang w:eastAsia="pl-PL"/>
              </w:rPr>
            </w:pPr>
            <w:r w:rsidRPr="000C01C6">
              <w:rPr>
                <w:rFonts w:eastAsia="Times New Roman" w:cstheme="minorHAnsi"/>
                <w:sz w:val="18"/>
                <w:szCs w:val="18"/>
                <w:lang w:eastAsia="pl-PL"/>
              </w:rPr>
              <w:t xml:space="preserve">Liczba stwierdzonych przestępstw </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36</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1</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8</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4</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2</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6</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8</w:t>
            </w:r>
          </w:p>
        </w:tc>
        <w:tc>
          <w:tcPr>
            <w:tcW w:w="641"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3</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3</w:t>
            </w:r>
          </w:p>
        </w:tc>
        <w:tc>
          <w:tcPr>
            <w:tcW w:w="459"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1</w:t>
            </w:r>
          </w:p>
        </w:tc>
      </w:tr>
      <w:tr w:rsidR="009A08A9" w:rsidRPr="009A08A9" w:rsidTr="009A08A9">
        <w:trPr>
          <w:trHeight w:val="300"/>
        </w:trPr>
        <w:tc>
          <w:tcPr>
            <w:tcW w:w="3134" w:type="dxa"/>
            <w:shd w:val="clear" w:color="auto" w:fill="auto"/>
            <w:noWrap/>
            <w:vAlign w:val="bottom"/>
            <w:hideMark/>
          </w:tcPr>
          <w:p w:rsidR="000C01C6" w:rsidRPr="000C01C6" w:rsidRDefault="000C01C6" w:rsidP="000C01C6">
            <w:pPr>
              <w:spacing w:after="0" w:line="240" w:lineRule="auto"/>
              <w:rPr>
                <w:rFonts w:eastAsia="Times New Roman" w:cstheme="minorHAnsi"/>
                <w:sz w:val="18"/>
                <w:szCs w:val="18"/>
                <w:lang w:eastAsia="pl-PL"/>
              </w:rPr>
            </w:pPr>
            <w:r w:rsidRPr="000C01C6">
              <w:rPr>
                <w:rFonts w:eastAsia="Times New Roman" w:cstheme="minorHAnsi"/>
                <w:sz w:val="18"/>
                <w:szCs w:val="18"/>
                <w:lang w:eastAsia="pl-PL"/>
              </w:rPr>
              <w:t>liczba stwierdzonych wykroczeń</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236</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9</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63</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13</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26</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27</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64</w:t>
            </w:r>
          </w:p>
        </w:tc>
        <w:tc>
          <w:tcPr>
            <w:tcW w:w="641"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11</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18</w:t>
            </w:r>
          </w:p>
        </w:tc>
        <w:tc>
          <w:tcPr>
            <w:tcW w:w="459"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5</w:t>
            </w:r>
          </w:p>
        </w:tc>
      </w:tr>
      <w:tr w:rsidR="009A08A9" w:rsidRPr="009A08A9" w:rsidTr="009A08A9">
        <w:trPr>
          <w:trHeight w:val="300"/>
        </w:trPr>
        <w:tc>
          <w:tcPr>
            <w:tcW w:w="3134" w:type="dxa"/>
            <w:shd w:val="clear" w:color="auto" w:fill="auto"/>
            <w:noWrap/>
            <w:vAlign w:val="bottom"/>
            <w:hideMark/>
          </w:tcPr>
          <w:p w:rsidR="000C01C6" w:rsidRPr="000C01C6" w:rsidRDefault="000C01C6" w:rsidP="000C01C6">
            <w:pPr>
              <w:spacing w:after="0" w:line="240" w:lineRule="auto"/>
              <w:rPr>
                <w:rFonts w:eastAsia="Times New Roman" w:cstheme="minorHAnsi"/>
                <w:sz w:val="18"/>
                <w:szCs w:val="18"/>
                <w:lang w:eastAsia="pl-PL"/>
              </w:rPr>
            </w:pPr>
            <w:r w:rsidRPr="000C01C6">
              <w:rPr>
                <w:rFonts w:eastAsia="Times New Roman" w:cstheme="minorHAnsi"/>
                <w:sz w:val="18"/>
                <w:szCs w:val="18"/>
                <w:lang w:eastAsia="pl-PL"/>
              </w:rPr>
              <w:t>liczba kolizji drogowych</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24</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0</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4</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2</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5</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3</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6</w:t>
            </w:r>
          </w:p>
        </w:tc>
        <w:tc>
          <w:tcPr>
            <w:tcW w:w="641"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3</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0</w:t>
            </w:r>
          </w:p>
        </w:tc>
        <w:tc>
          <w:tcPr>
            <w:tcW w:w="459"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1</w:t>
            </w:r>
          </w:p>
        </w:tc>
      </w:tr>
      <w:tr w:rsidR="009A08A9" w:rsidRPr="009A08A9" w:rsidTr="009A08A9">
        <w:trPr>
          <w:trHeight w:val="300"/>
        </w:trPr>
        <w:tc>
          <w:tcPr>
            <w:tcW w:w="3134" w:type="dxa"/>
            <w:shd w:val="clear" w:color="auto" w:fill="auto"/>
            <w:noWrap/>
            <w:vAlign w:val="bottom"/>
            <w:hideMark/>
          </w:tcPr>
          <w:p w:rsidR="000C01C6" w:rsidRPr="000C01C6" w:rsidRDefault="000C01C6" w:rsidP="000C01C6">
            <w:pPr>
              <w:spacing w:after="0" w:line="240" w:lineRule="auto"/>
              <w:rPr>
                <w:rFonts w:eastAsia="Times New Roman" w:cstheme="minorHAnsi"/>
                <w:sz w:val="18"/>
                <w:szCs w:val="18"/>
                <w:lang w:eastAsia="pl-PL"/>
              </w:rPr>
            </w:pPr>
            <w:r w:rsidRPr="000C01C6">
              <w:rPr>
                <w:rFonts w:eastAsia="Times New Roman" w:cstheme="minorHAnsi"/>
                <w:sz w:val="18"/>
                <w:szCs w:val="18"/>
                <w:lang w:eastAsia="pl-PL"/>
              </w:rPr>
              <w:t>liczba wypadków drogowych</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1</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0</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1</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0</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0</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0</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0</w:t>
            </w:r>
          </w:p>
        </w:tc>
        <w:tc>
          <w:tcPr>
            <w:tcW w:w="641"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0</w:t>
            </w:r>
          </w:p>
        </w:tc>
        <w:tc>
          <w:tcPr>
            <w:tcW w:w="530"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0</w:t>
            </w:r>
          </w:p>
        </w:tc>
        <w:tc>
          <w:tcPr>
            <w:tcW w:w="459"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0</w:t>
            </w:r>
          </w:p>
        </w:tc>
      </w:tr>
      <w:tr w:rsidR="009A08A9" w:rsidRPr="009A08A9" w:rsidTr="009A08A9">
        <w:trPr>
          <w:trHeight w:val="300"/>
        </w:trPr>
        <w:tc>
          <w:tcPr>
            <w:tcW w:w="3134" w:type="dxa"/>
            <w:shd w:val="clear" w:color="auto" w:fill="auto"/>
            <w:noWrap/>
            <w:vAlign w:val="bottom"/>
            <w:hideMark/>
          </w:tcPr>
          <w:p w:rsidR="000C01C6" w:rsidRPr="000C01C6" w:rsidRDefault="000C01C6" w:rsidP="000C01C6">
            <w:pPr>
              <w:spacing w:after="0" w:line="240" w:lineRule="auto"/>
              <w:rPr>
                <w:rFonts w:eastAsia="Times New Roman" w:cstheme="minorHAnsi"/>
                <w:sz w:val="18"/>
                <w:szCs w:val="18"/>
                <w:lang w:eastAsia="pl-PL"/>
              </w:rPr>
            </w:pPr>
            <w:r w:rsidRPr="000C01C6">
              <w:rPr>
                <w:rFonts w:eastAsia="Times New Roman" w:cstheme="minorHAnsi"/>
                <w:sz w:val="18"/>
                <w:szCs w:val="18"/>
                <w:lang w:eastAsia="pl-PL"/>
              </w:rPr>
              <w:t xml:space="preserve">Liczba stwierdzonych przestępstw ogółem w przeliczeniu na 100 osób wg faktycznego miejsca zamieszkania </w:t>
            </w:r>
          </w:p>
        </w:tc>
        <w:tc>
          <w:tcPr>
            <w:tcW w:w="530" w:type="dxa"/>
            <w:shd w:val="clear" w:color="auto" w:fill="auto"/>
            <w:noWrap/>
            <w:vAlign w:val="center"/>
            <w:hideMark/>
          </w:tcPr>
          <w:p w:rsidR="000C01C6" w:rsidRPr="009A08A9" w:rsidRDefault="000C01C6" w:rsidP="000C01C6">
            <w:pPr>
              <w:jc w:val="center"/>
              <w:rPr>
                <w:rFonts w:cstheme="minorHAnsi"/>
                <w:sz w:val="18"/>
                <w:szCs w:val="18"/>
              </w:rPr>
            </w:pPr>
            <w:r w:rsidRPr="009A08A9">
              <w:rPr>
                <w:rFonts w:cstheme="minorHAnsi"/>
                <w:sz w:val="18"/>
                <w:szCs w:val="18"/>
              </w:rPr>
              <w:t>1,32</w:t>
            </w:r>
          </w:p>
        </w:tc>
        <w:tc>
          <w:tcPr>
            <w:tcW w:w="530" w:type="dxa"/>
            <w:shd w:val="clear" w:color="auto" w:fill="auto"/>
            <w:noWrap/>
            <w:vAlign w:val="center"/>
            <w:hideMark/>
          </w:tcPr>
          <w:p w:rsidR="000C01C6" w:rsidRPr="009A08A9" w:rsidRDefault="000C01C6" w:rsidP="000C01C6">
            <w:pPr>
              <w:jc w:val="center"/>
              <w:rPr>
                <w:rFonts w:cstheme="minorHAnsi"/>
                <w:sz w:val="18"/>
                <w:szCs w:val="18"/>
              </w:rPr>
            </w:pPr>
            <w:r w:rsidRPr="009A08A9">
              <w:rPr>
                <w:rFonts w:cstheme="minorHAnsi"/>
                <w:sz w:val="18"/>
                <w:szCs w:val="18"/>
              </w:rPr>
              <w:t>0,43</w:t>
            </w:r>
          </w:p>
        </w:tc>
        <w:tc>
          <w:tcPr>
            <w:tcW w:w="530" w:type="dxa"/>
            <w:shd w:val="clear" w:color="auto" w:fill="auto"/>
            <w:noWrap/>
            <w:vAlign w:val="center"/>
            <w:hideMark/>
          </w:tcPr>
          <w:p w:rsidR="000C01C6" w:rsidRPr="009A08A9" w:rsidRDefault="000C01C6" w:rsidP="000C01C6">
            <w:pPr>
              <w:jc w:val="center"/>
              <w:rPr>
                <w:rFonts w:cstheme="minorHAnsi"/>
                <w:sz w:val="18"/>
                <w:szCs w:val="18"/>
              </w:rPr>
            </w:pPr>
            <w:r w:rsidRPr="009A08A9">
              <w:rPr>
                <w:rFonts w:cstheme="minorHAnsi"/>
                <w:sz w:val="18"/>
                <w:szCs w:val="18"/>
              </w:rPr>
              <w:t>0,34</w:t>
            </w:r>
          </w:p>
        </w:tc>
        <w:tc>
          <w:tcPr>
            <w:tcW w:w="530" w:type="dxa"/>
            <w:shd w:val="clear" w:color="auto" w:fill="auto"/>
            <w:noWrap/>
            <w:vAlign w:val="center"/>
            <w:hideMark/>
          </w:tcPr>
          <w:p w:rsidR="000C01C6" w:rsidRPr="009A08A9" w:rsidRDefault="000C01C6" w:rsidP="000C01C6">
            <w:pPr>
              <w:jc w:val="center"/>
              <w:rPr>
                <w:rFonts w:cstheme="minorHAnsi"/>
                <w:sz w:val="18"/>
                <w:szCs w:val="18"/>
              </w:rPr>
            </w:pPr>
            <w:r w:rsidRPr="009A08A9">
              <w:rPr>
                <w:rFonts w:cstheme="minorHAnsi"/>
                <w:sz w:val="18"/>
                <w:szCs w:val="18"/>
              </w:rPr>
              <w:t>0,38</w:t>
            </w:r>
          </w:p>
        </w:tc>
        <w:tc>
          <w:tcPr>
            <w:tcW w:w="530" w:type="dxa"/>
            <w:shd w:val="clear" w:color="auto" w:fill="auto"/>
            <w:noWrap/>
            <w:vAlign w:val="center"/>
            <w:hideMark/>
          </w:tcPr>
          <w:p w:rsidR="000C01C6" w:rsidRPr="009A08A9" w:rsidRDefault="000C01C6" w:rsidP="000C01C6">
            <w:pPr>
              <w:jc w:val="center"/>
              <w:rPr>
                <w:rFonts w:cstheme="minorHAnsi"/>
                <w:sz w:val="18"/>
                <w:szCs w:val="18"/>
              </w:rPr>
            </w:pPr>
            <w:r w:rsidRPr="009A08A9">
              <w:rPr>
                <w:rFonts w:cstheme="minorHAnsi"/>
                <w:sz w:val="18"/>
                <w:szCs w:val="18"/>
              </w:rPr>
              <w:t>0,48</w:t>
            </w:r>
          </w:p>
        </w:tc>
        <w:tc>
          <w:tcPr>
            <w:tcW w:w="530" w:type="dxa"/>
            <w:shd w:val="clear" w:color="auto" w:fill="auto"/>
            <w:noWrap/>
            <w:vAlign w:val="center"/>
            <w:hideMark/>
          </w:tcPr>
          <w:p w:rsidR="000C01C6" w:rsidRPr="009A08A9" w:rsidRDefault="000C01C6" w:rsidP="000C01C6">
            <w:pPr>
              <w:jc w:val="center"/>
              <w:rPr>
                <w:rFonts w:cstheme="minorHAnsi"/>
                <w:sz w:val="18"/>
                <w:szCs w:val="18"/>
              </w:rPr>
            </w:pPr>
            <w:r w:rsidRPr="009A08A9">
              <w:rPr>
                <w:rFonts w:cstheme="minorHAnsi"/>
                <w:sz w:val="18"/>
                <w:szCs w:val="18"/>
              </w:rPr>
              <w:t>0,15</w:t>
            </w:r>
          </w:p>
        </w:tc>
        <w:tc>
          <w:tcPr>
            <w:tcW w:w="530" w:type="dxa"/>
            <w:shd w:val="clear" w:color="auto" w:fill="auto"/>
            <w:noWrap/>
            <w:vAlign w:val="center"/>
            <w:hideMark/>
          </w:tcPr>
          <w:p w:rsidR="000C01C6" w:rsidRPr="009A08A9" w:rsidRDefault="000C01C6" w:rsidP="000C01C6">
            <w:pPr>
              <w:jc w:val="center"/>
              <w:rPr>
                <w:rFonts w:cstheme="minorHAnsi"/>
                <w:sz w:val="18"/>
                <w:szCs w:val="18"/>
              </w:rPr>
            </w:pPr>
            <w:r w:rsidRPr="009A08A9">
              <w:rPr>
                <w:rFonts w:cstheme="minorHAnsi"/>
                <w:sz w:val="18"/>
                <w:szCs w:val="18"/>
              </w:rPr>
              <w:t>0,54</w:t>
            </w:r>
          </w:p>
        </w:tc>
        <w:tc>
          <w:tcPr>
            <w:tcW w:w="530" w:type="dxa"/>
            <w:shd w:val="clear" w:color="auto" w:fill="auto"/>
            <w:noWrap/>
            <w:vAlign w:val="center"/>
            <w:hideMark/>
          </w:tcPr>
          <w:p w:rsidR="000C01C6" w:rsidRPr="009A08A9" w:rsidRDefault="000C01C6" w:rsidP="000C01C6">
            <w:pPr>
              <w:jc w:val="center"/>
              <w:rPr>
                <w:rFonts w:cstheme="minorHAnsi"/>
                <w:sz w:val="18"/>
                <w:szCs w:val="18"/>
              </w:rPr>
            </w:pPr>
            <w:r w:rsidRPr="009A08A9">
              <w:rPr>
                <w:rFonts w:cstheme="minorHAnsi"/>
                <w:sz w:val="18"/>
                <w:szCs w:val="18"/>
              </w:rPr>
              <w:t>0,61</w:t>
            </w:r>
          </w:p>
        </w:tc>
        <w:tc>
          <w:tcPr>
            <w:tcW w:w="641" w:type="dxa"/>
            <w:shd w:val="clear" w:color="auto" w:fill="auto"/>
            <w:noWrap/>
            <w:vAlign w:val="center"/>
            <w:hideMark/>
          </w:tcPr>
          <w:p w:rsidR="000C01C6" w:rsidRPr="009A08A9" w:rsidRDefault="000C01C6" w:rsidP="000C01C6">
            <w:pPr>
              <w:jc w:val="center"/>
              <w:rPr>
                <w:rFonts w:cstheme="minorHAnsi"/>
                <w:sz w:val="18"/>
                <w:szCs w:val="18"/>
              </w:rPr>
            </w:pPr>
            <w:r w:rsidRPr="009A08A9">
              <w:rPr>
                <w:rFonts w:cstheme="minorHAnsi"/>
                <w:sz w:val="18"/>
                <w:szCs w:val="18"/>
              </w:rPr>
              <w:t>0,40</w:t>
            </w:r>
          </w:p>
        </w:tc>
        <w:tc>
          <w:tcPr>
            <w:tcW w:w="530" w:type="dxa"/>
            <w:shd w:val="clear" w:color="auto" w:fill="auto"/>
            <w:noWrap/>
            <w:vAlign w:val="center"/>
            <w:hideMark/>
          </w:tcPr>
          <w:p w:rsidR="000C01C6" w:rsidRPr="009A08A9" w:rsidRDefault="000C01C6" w:rsidP="000C01C6">
            <w:pPr>
              <w:jc w:val="center"/>
              <w:rPr>
                <w:rFonts w:cstheme="minorHAnsi"/>
                <w:sz w:val="18"/>
                <w:szCs w:val="18"/>
              </w:rPr>
            </w:pPr>
            <w:r w:rsidRPr="009A08A9">
              <w:rPr>
                <w:rFonts w:cstheme="minorHAnsi"/>
                <w:sz w:val="18"/>
                <w:szCs w:val="18"/>
              </w:rPr>
              <w:t>0,97</w:t>
            </w:r>
          </w:p>
        </w:tc>
        <w:tc>
          <w:tcPr>
            <w:tcW w:w="459" w:type="dxa"/>
            <w:shd w:val="clear" w:color="auto" w:fill="auto"/>
            <w:noWrap/>
            <w:vAlign w:val="center"/>
            <w:hideMark/>
          </w:tcPr>
          <w:p w:rsidR="000C01C6" w:rsidRPr="000C01C6" w:rsidRDefault="000C01C6" w:rsidP="000C01C6">
            <w:pPr>
              <w:spacing w:after="0" w:line="240" w:lineRule="auto"/>
              <w:jc w:val="center"/>
              <w:rPr>
                <w:rFonts w:eastAsia="Times New Roman" w:cstheme="minorHAnsi"/>
                <w:sz w:val="18"/>
                <w:szCs w:val="18"/>
                <w:lang w:eastAsia="pl-PL"/>
              </w:rPr>
            </w:pPr>
            <w:r w:rsidRPr="000C01C6">
              <w:rPr>
                <w:rFonts w:eastAsia="Times New Roman" w:cstheme="minorHAnsi"/>
                <w:sz w:val="18"/>
                <w:szCs w:val="18"/>
                <w:lang w:eastAsia="pl-PL"/>
              </w:rPr>
              <w:t>0,34</w:t>
            </w:r>
          </w:p>
        </w:tc>
      </w:tr>
    </w:tbl>
    <w:p w:rsidR="000C01C6" w:rsidRPr="000C01C6" w:rsidRDefault="00F25FE9" w:rsidP="00F25FE9">
      <w:pPr>
        <w:pStyle w:val="Legenda"/>
      </w:pPr>
      <w:r w:rsidRPr="00FB4E3B">
        <w:t xml:space="preserve">Źródło: </w:t>
      </w:r>
      <w:r>
        <w:t>opracowanie własne na podstawie danych pozyskanych z Policji</w:t>
      </w:r>
    </w:p>
    <w:p w:rsidR="000C01C6" w:rsidRDefault="000C01C6" w:rsidP="000C01C6">
      <w:pPr>
        <w:pStyle w:val="Bezodstpw"/>
        <w:ind w:firstLine="708"/>
        <w:jc w:val="both"/>
      </w:pPr>
      <w:r>
        <w:t>Tym samym, żadna z miejscowości gminy Tryńcza nie spełnia kryterium w kategorii bezpieczeństwa publicznego.</w:t>
      </w:r>
    </w:p>
    <w:p w:rsidR="000C01C6" w:rsidRDefault="000C01C6" w:rsidP="000C01C6"/>
    <w:p w:rsidR="00F25FE9" w:rsidRPr="00F25FE9" w:rsidRDefault="00F25FE9" w:rsidP="00F25FE9">
      <w:pPr>
        <w:pStyle w:val="Nagwek2"/>
      </w:pPr>
      <w:bookmarkStart w:id="104" w:name="_Toc496558085"/>
      <w:r w:rsidRPr="00F25FE9">
        <w:t>Kategoria: uwarunkowania przestrzenne</w:t>
      </w:r>
      <w:bookmarkEnd w:id="104"/>
      <w:r w:rsidRPr="00F25FE9">
        <w:t xml:space="preserve"> </w:t>
      </w:r>
    </w:p>
    <w:p w:rsidR="00F25FE9" w:rsidRDefault="00F25FE9" w:rsidP="00F25FE9">
      <w:pPr>
        <w:pStyle w:val="Bezodstpw"/>
        <w:jc w:val="both"/>
      </w:pPr>
      <w:r>
        <w:br/>
        <w:t xml:space="preserve">Zgodnie z </w:t>
      </w:r>
      <w:r w:rsidRPr="007C3562">
        <w:rPr>
          <w:i/>
        </w:rPr>
        <w:t xml:space="preserve">Instrukcją </w:t>
      </w:r>
      <w:r>
        <w:t xml:space="preserve">w kategorii uwarunkowania przestrzenne  określono wskaźnik: 18. </w:t>
      </w:r>
      <w:r w:rsidRPr="00F25FE9">
        <w:t>Liczba budynków mieszkalnych zamieszkałych, wybudowanych przed rokiem 1989 w relacji do</w:t>
      </w:r>
      <w:r>
        <w:t xml:space="preserve"> </w:t>
      </w:r>
      <w:r w:rsidRPr="00F25FE9">
        <w:t>ogólnej liczby budynków mieszkalnych zamieszkałych</w:t>
      </w:r>
      <w:r>
        <w:t>. Dane referencyjne dla województwa wynoszą 76,36% [za rok 2011].</w:t>
      </w:r>
    </w:p>
    <w:p w:rsidR="00F25FE9" w:rsidRDefault="00F25FE9" w:rsidP="00F25FE9">
      <w:pPr>
        <w:pStyle w:val="Bezodstpw"/>
        <w:jc w:val="both"/>
      </w:pPr>
    </w:p>
    <w:p w:rsidR="00F25FE9" w:rsidRDefault="00F25FE9" w:rsidP="00F25FE9">
      <w:pPr>
        <w:pStyle w:val="Bezodstpw"/>
        <w:jc w:val="both"/>
      </w:pPr>
      <w:r>
        <w:t xml:space="preserve">W związku z brakiem </w:t>
      </w:r>
      <w:r w:rsidR="009A068B">
        <w:t xml:space="preserve">szczegółowych </w:t>
      </w:r>
      <w:r>
        <w:t xml:space="preserve">danych </w:t>
      </w:r>
      <w:r w:rsidR="009A068B">
        <w:t>dotyczących wieku poszczególnych budynków mieszkalnych w podziale na miejscowości gminne, w delimitacji obszaru nie uwzględniono wskaźnika kategorii: planowanie przestrzenne.</w:t>
      </w:r>
    </w:p>
    <w:p w:rsidR="009A068B" w:rsidRDefault="009A068B" w:rsidP="00F25FE9">
      <w:pPr>
        <w:pStyle w:val="Bezodstpw"/>
        <w:jc w:val="both"/>
      </w:pPr>
    </w:p>
    <w:p w:rsidR="009A068B" w:rsidRDefault="009A068B" w:rsidP="00F25FE9">
      <w:pPr>
        <w:pStyle w:val="Bezodstpw"/>
        <w:jc w:val="both"/>
      </w:pPr>
    </w:p>
    <w:p w:rsidR="009A068B" w:rsidRDefault="009A068B" w:rsidP="009A068B">
      <w:pPr>
        <w:pStyle w:val="Nagwek2"/>
      </w:pPr>
      <w:bookmarkStart w:id="105" w:name="_Toc496558086"/>
      <w:r>
        <w:t>Kategoria: integracja społeczna</w:t>
      </w:r>
      <w:bookmarkEnd w:id="105"/>
    </w:p>
    <w:p w:rsidR="009A068B" w:rsidRDefault="009A068B" w:rsidP="00F25FE9">
      <w:pPr>
        <w:pStyle w:val="Bezodstpw"/>
        <w:jc w:val="both"/>
      </w:pPr>
    </w:p>
    <w:p w:rsidR="009A068B" w:rsidRDefault="009A068B" w:rsidP="00F25FE9">
      <w:pPr>
        <w:pStyle w:val="Bezodstpw"/>
      </w:pPr>
      <w:r>
        <w:t xml:space="preserve">Zgodnie z </w:t>
      </w:r>
      <w:r w:rsidRPr="007C3562">
        <w:rPr>
          <w:i/>
        </w:rPr>
        <w:t xml:space="preserve">Instrukcją </w:t>
      </w:r>
      <w:r>
        <w:t>w kategorii integracja społeczna określono dwa wskaźniki:</w:t>
      </w:r>
    </w:p>
    <w:p w:rsidR="009A068B" w:rsidRDefault="009A068B" w:rsidP="009A068B">
      <w:pPr>
        <w:pStyle w:val="Bezodstpw"/>
      </w:pPr>
      <w:r>
        <w:t xml:space="preserve">19. </w:t>
      </w:r>
      <w:r w:rsidRPr="009A068B">
        <w:t>Liczba organizacji pozarządowych na 100 osób wg miejsca zamieszkania</w:t>
      </w:r>
      <w:r>
        <w:t xml:space="preserve"> oraz 20. </w:t>
      </w:r>
      <w:r w:rsidRPr="009A068B">
        <w:t>Frekwencja w wyborach do organów jednostek samorządu terytorialnego (I tura)</w:t>
      </w:r>
    </w:p>
    <w:p w:rsidR="00F25FE9" w:rsidRDefault="00F25FE9" w:rsidP="00F25FE9">
      <w:pPr>
        <w:pStyle w:val="Bezodstpw"/>
      </w:pPr>
    </w:p>
    <w:p w:rsidR="009A068B" w:rsidRDefault="009A068B" w:rsidP="00F25FE9">
      <w:pPr>
        <w:pStyle w:val="Bezodstpw"/>
      </w:pPr>
    </w:p>
    <w:p w:rsidR="009A068B" w:rsidRDefault="009A068B" w:rsidP="00A32903">
      <w:pPr>
        <w:pStyle w:val="Bezodstpw"/>
        <w:jc w:val="both"/>
      </w:pPr>
      <w:r>
        <w:lastRenderedPageBreak/>
        <w:t xml:space="preserve">Na terenie </w:t>
      </w:r>
      <w:r w:rsidR="00A32903">
        <w:t>Gminy Tryńcza zarejestrowanych jest 20 organizacji pozarządowych (dane organizacji KLON-JAWOR): 2 w Głogowcu, 3 w Gniewczynie Łańcuckiej, 2 w Gniewczynie Trynieckiej, 1 w Gorzycach, 2 w Jagielle, 8 w Tryńczy, 2 w Ubieszynie.</w:t>
      </w:r>
    </w:p>
    <w:p w:rsidR="009A068B" w:rsidRDefault="009A068B" w:rsidP="00F25FE9">
      <w:pPr>
        <w:pStyle w:val="Bezodstpw"/>
      </w:pPr>
    </w:p>
    <w:p w:rsidR="009A068B" w:rsidRDefault="009A068B" w:rsidP="00F25FE9">
      <w:pPr>
        <w:pStyle w:val="Bezodstpw"/>
      </w:pPr>
    </w:p>
    <w:p w:rsidR="009A068B" w:rsidRDefault="009A068B" w:rsidP="009A068B">
      <w:pPr>
        <w:pStyle w:val="Legenda"/>
      </w:pPr>
      <w:bookmarkStart w:id="106" w:name="_Toc495887787"/>
      <w:r>
        <w:t xml:space="preserve">Mapa </w:t>
      </w:r>
      <w:r w:rsidR="00172343">
        <w:fldChar w:fldCharType="begin"/>
      </w:r>
      <w:r w:rsidR="00172343">
        <w:instrText xml:space="preserve"> SEQ Mapa \* ARABIC </w:instrText>
      </w:r>
      <w:r w:rsidR="00172343">
        <w:fldChar w:fldCharType="separate"/>
      </w:r>
      <w:r w:rsidR="00883893">
        <w:rPr>
          <w:noProof/>
        </w:rPr>
        <w:t>11</w:t>
      </w:r>
      <w:r w:rsidR="00172343">
        <w:rPr>
          <w:noProof/>
        </w:rPr>
        <w:fldChar w:fldCharType="end"/>
      </w:r>
      <w:r>
        <w:t xml:space="preserve"> </w:t>
      </w:r>
      <w:r w:rsidRPr="009A068B">
        <w:t>Liczba organizacji pozarządowych na 100 osób wg miejsca zamieszkania</w:t>
      </w:r>
      <w:bookmarkEnd w:id="106"/>
      <w:r>
        <w:t xml:space="preserve"> </w:t>
      </w:r>
    </w:p>
    <w:p w:rsidR="009A068B" w:rsidRDefault="00EE2C5D" w:rsidP="00F25FE9">
      <w:pPr>
        <w:pStyle w:val="Bezodstpw"/>
      </w:pPr>
      <w:r>
        <w:rPr>
          <w:noProof/>
          <w:lang w:eastAsia="pl-PL"/>
        </w:rPr>
        <w:drawing>
          <wp:anchor distT="0" distB="0" distL="114300" distR="114300" simplePos="0" relativeHeight="251668480" behindDoc="0" locked="0" layoutInCell="1" allowOverlap="1">
            <wp:simplePos x="0" y="0"/>
            <wp:positionH relativeFrom="column">
              <wp:posOffset>-280670</wp:posOffset>
            </wp:positionH>
            <wp:positionV relativeFrom="paragraph">
              <wp:posOffset>504825</wp:posOffset>
            </wp:positionV>
            <wp:extent cx="3057525" cy="1485900"/>
            <wp:effectExtent l="0" t="0" r="9525"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75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68B">
        <w:rPr>
          <w:noProof/>
          <w:lang w:eastAsia="pl-PL"/>
        </w:rPr>
        <w:drawing>
          <wp:inline distT="0" distB="0" distL="0" distR="0" wp14:anchorId="664F9028" wp14:editId="155A3A22">
            <wp:extent cx="5524500" cy="673417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0" cy="6734175"/>
                    </a:xfrm>
                    <a:prstGeom prst="rect">
                      <a:avLst/>
                    </a:prstGeom>
                    <a:noFill/>
                    <a:ln>
                      <a:noFill/>
                    </a:ln>
                  </pic:spPr>
                </pic:pic>
              </a:graphicData>
            </a:graphic>
          </wp:inline>
        </w:drawing>
      </w:r>
    </w:p>
    <w:p w:rsidR="009A068B" w:rsidRDefault="00A32903" w:rsidP="00A32903">
      <w:pPr>
        <w:pStyle w:val="Legenda"/>
      </w:pPr>
      <w:r>
        <w:t>Źródło: Opracowanie własne na podstawie danych Urzędu Gminy oraz raportu KLON JAWOR.</w:t>
      </w:r>
    </w:p>
    <w:p w:rsidR="009A068B" w:rsidRDefault="009A068B" w:rsidP="00F25FE9">
      <w:pPr>
        <w:pStyle w:val="Bezodstpw"/>
      </w:pPr>
    </w:p>
    <w:p w:rsidR="00A32903" w:rsidRDefault="00A32903" w:rsidP="00F25FE9">
      <w:pPr>
        <w:pStyle w:val="Bezodstpw"/>
      </w:pPr>
      <w:r>
        <w:t>Tym samym poza Tryńczą i Głogowcem, wszystkie pozostałe miejscowości spełniają kryteria delimitacji z kategorii integracji społecznej.</w:t>
      </w:r>
    </w:p>
    <w:p w:rsidR="00A32903" w:rsidRDefault="00A32903" w:rsidP="00F25FE9">
      <w:pPr>
        <w:pStyle w:val="Bezodstpw"/>
      </w:pPr>
    </w:p>
    <w:p w:rsidR="009A068B" w:rsidRDefault="009A068B" w:rsidP="00F25FE9">
      <w:pPr>
        <w:pStyle w:val="Bezodstpw"/>
      </w:pPr>
      <w:r>
        <w:lastRenderedPageBreak/>
        <w:t xml:space="preserve">20. </w:t>
      </w:r>
      <w:r w:rsidRPr="009A068B">
        <w:t xml:space="preserve">Frekwencja w wyborach do organów jednostek samorządu terytorialnego </w:t>
      </w:r>
      <w:r w:rsidR="00A32903">
        <w:t xml:space="preserve">2014 </w:t>
      </w:r>
      <w:r w:rsidRPr="009A068B">
        <w:t>(I tura)</w:t>
      </w:r>
    </w:p>
    <w:p w:rsidR="009A068B" w:rsidRDefault="009A068B" w:rsidP="00F25FE9">
      <w:pPr>
        <w:pStyle w:val="Bezodstpw"/>
      </w:pPr>
    </w:p>
    <w:p w:rsidR="009A068B" w:rsidRDefault="00A32903" w:rsidP="00F25FE9">
      <w:pPr>
        <w:pStyle w:val="Bezodstpw"/>
      </w:pPr>
      <w:r>
        <w:t>Zgodnie z instrukcją minimalny poziom danych referencyjnych wynosi 43,85% frekwencji. Na terenie całej gminy zanotowano frekwencję na poziomie 54,22%, nawet w samym Ubieszynie frekwencja na poziomie 44,29% nie spełnia minimalnych wartości dla tego wskaźnika.</w:t>
      </w:r>
    </w:p>
    <w:p w:rsidR="00A32903" w:rsidRDefault="00A32903" w:rsidP="00F25FE9">
      <w:pPr>
        <w:pStyle w:val="Bezodstpw"/>
      </w:pPr>
    </w:p>
    <w:p w:rsidR="009A068B" w:rsidRDefault="009A068B" w:rsidP="00F25FE9">
      <w:pPr>
        <w:pStyle w:val="Bezodstpw"/>
      </w:pPr>
    </w:p>
    <w:p w:rsidR="009A068B" w:rsidRDefault="00A32903" w:rsidP="00A32903">
      <w:pPr>
        <w:pStyle w:val="Legenda"/>
      </w:pPr>
      <w:bookmarkStart w:id="107" w:name="_Toc495887813"/>
      <w:r>
        <w:t xml:space="preserve">Tabela </w:t>
      </w:r>
      <w:r w:rsidR="00172343">
        <w:fldChar w:fldCharType="begin"/>
      </w:r>
      <w:r w:rsidR="00172343">
        <w:instrText xml:space="preserve"> SEQ Tabela \* ARABIC </w:instrText>
      </w:r>
      <w:r w:rsidR="00172343">
        <w:fldChar w:fldCharType="separate"/>
      </w:r>
      <w:r w:rsidR="00D67FEC">
        <w:rPr>
          <w:noProof/>
        </w:rPr>
        <w:t>24</w:t>
      </w:r>
      <w:r w:rsidR="00172343">
        <w:rPr>
          <w:noProof/>
        </w:rPr>
        <w:fldChar w:fldCharType="end"/>
      </w:r>
      <w:r>
        <w:t xml:space="preserve"> Frekwencja </w:t>
      </w:r>
      <w:r w:rsidRPr="00A32903">
        <w:t>w wyborach do organów jednostek samorządu terytorialnego</w:t>
      </w:r>
      <w:r>
        <w:t xml:space="preserve"> 2014</w:t>
      </w:r>
      <w:r w:rsidRPr="00A32903">
        <w:t xml:space="preserve"> (I tura)</w:t>
      </w:r>
      <w:bookmarkEnd w:id="107"/>
    </w:p>
    <w:p w:rsidR="009A068B" w:rsidRDefault="009A068B" w:rsidP="00F25FE9">
      <w:pPr>
        <w:pStyle w:val="Bezodstpw"/>
      </w:pPr>
      <w:r>
        <w:rPr>
          <w:noProof/>
          <w:lang w:eastAsia="pl-PL"/>
        </w:rPr>
        <w:drawing>
          <wp:inline distT="0" distB="0" distL="0" distR="0">
            <wp:extent cx="5753100" cy="429577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4295775"/>
                    </a:xfrm>
                    <a:prstGeom prst="rect">
                      <a:avLst/>
                    </a:prstGeom>
                    <a:noFill/>
                    <a:ln>
                      <a:noFill/>
                    </a:ln>
                  </pic:spPr>
                </pic:pic>
              </a:graphicData>
            </a:graphic>
          </wp:inline>
        </w:drawing>
      </w:r>
    </w:p>
    <w:p w:rsidR="009A068B" w:rsidRDefault="009A068B" w:rsidP="009A068B">
      <w:pPr>
        <w:pStyle w:val="Legenda"/>
      </w:pPr>
      <w:r>
        <w:t xml:space="preserve">Źródło: Dane Państwowej Komisji Wyborczej </w:t>
      </w:r>
    </w:p>
    <w:p w:rsidR="00A32903" w:rsidRDefault="00A32903" w:rsidP="00A32903">
      <w:pPr>
        <w:ind w:firstLine="708"/>
        <w:jc w:val="both"/>
      </w:pPr>
      <w:r>
        <w:t xml:space="preserve">Podsumowując, w kategorii Integracja społeczna, </w:t>
      </w:r>
      <w:r w:rsidRPr="00A32903">
        <w:t>Gniewczyna Łańcucka</w:t>
      </w:r>
      <w:r>
        <w:t xml:space="preserve">, </w:t>
      </w:r>
      <w:r w:rsidRPr="00A32903">
        <w:t>Gniewczyna Tryniecka</w:t>
      </w:r>
      <w:r>
        <w:t xml:space="preserve">, </w:t>
      </w:r>
      <w:r w:rsidRPr="00A32903">
        <w:t>Gorzyce</w:t>
      </w:r>
      <w:r>
        <w:t xml:space="preserve">, </w:t>
      </w:r>
      <w:r w:rsidRPr="00A32903">
        <w:t>Jagiełła</w:t>
      </w:r>
      <w:r>
        <w:t xml:space="preserve">, </w:t>
      </w:r>
      <w:r w:rsidRPr="00A32903">
        <w:t>Ubieszyn</w:t>
      </w:r>
      <w:r>
        <w:t xml:space="preserve">, </w:t>
      </w:r>
      <w:r w:rsidRPr="00A32903">
        <w:t>Wólka Małkowa</w:t>
      </w:r>
      <w:r>
        <w:t xml:space="preserve"> i </w:t>
      </w:r>
      <w:r w:rsidRPr="00A32903">
        <w:t>Wólka Ogryzkowa</w:t>
      </w:r>
      <w:r>
        <w:t xml:space="preserve"> spełniają minimalne kryteria delimitacyjne.</w:t>
      </w:r>
    </w:p>
    <w:p w:rsidR="00A32903" w:rsidRDefault="00A32903" w:rsidP="00A32903">
      <w:pPr>
        <w:pStyle w:val="Nagwek2"/>
      </w:pPr>
      <w:bookmarkStart w:id="108" w:name="_Toc496558087"/>
      <w:r>
        <w:t>K</w:t>
      </w:r>
      <w:r w:rsidR="007446A0">
        <w:t>ategoria</w:t>
      </w:r>
      <w:r>
        <w:t>: ochrona środowiska</w:t>
      </w:r>
      <w:bookmarkEnd w:id="108"/>
    </w:p>
    <w:p w:rsidR="00A32903" w:rsidRDefault="00A32903" w:rsidP="00A32903">
      <w:pPr>
        <w:pStyle w:val="Bezodstpw"/>
      </w:pPr>
      <w:r>
        <w:t xml:space="preserve">Zgodnie z </w:t>
      </w:r>
      <w:r w:rsidRPr="007C3562">
        <w:rPr>
          <w:i/>
        </w:rPr>
        <w:t xml:space="preserve">Instrukcją </w:t>
      </w:r>
      <w:r>
        <w:t>w kategorii ochrona środowiska określono następujące wskaźniki:</w:t>
      </w:r>
    </w:p>
    <w:p w:rsidR="00A32903" w:rsidRDefault="00A32903" w:rsidP="00A32903">
      <w:pPr>
        <w:pStyle w:val="Bezodstpw"/>
      </w:pPr>
      <w:r>
        <w:t xml:space="preserve">21. </w:t>
      </w:r>
      <w:r w:rsidRPr="00A32903">
        <w:t>Odsetek ludności korzystającej z sieci gazowej</w:t>
      </w:r>
      <w:r>
        <w:t xml:space="preserve">, </w:t>
      </w:r>
    </w:p>
    <w:p w:rsidR="00A32903" w:rsidRDefault="00A32903" w:rsidP="00A32903">
      <w:pPr>
        <w:pStyle w:val="Bezodstpw"/>
      </w:pPr>
      <w:r>
        <w:t xml:space="preserve">22. </w:t>
      </w:r>
      <w:r w:rsidRPr="00A32903">
        <w:t>Odsetek ludności korzystającej z sieci wodociągowej</w:t>
      </w:r>
      <w:r>
        <w:t>, oraz</w:t>
      </w:r>
    </w:p>
    <w:p w:rsidR="00A32903" w:rsidRDefault="00A32903" w:rsidP="00A32903">
      <w:pPr>
        <w:pStyle w:val="Bezodstpw"/>
      </w:pPr>
      <w:r>
        <w:t>23.</w:t>
      </w:r>
      <w:r w:rsidRPr="00A32903">
        <w:t xml:space="preserve"> Odsetek ludności korzystającej z sieci kanalizacyjnej</w:t>
      </w:r>
      <w:r>
        <w:t>.</w:t>
      </w:r>
    </w:p>
    <w:p w:rsidR="00A32903" w:rsidRDefault="00A32903" w:rsidP="00A32903">
      <w:pPr>
        <w:pStyle w:val="Bezodstpw"/>
      </w:pPr>
    </w:p>
    <w:p w:rsidR="00A32903" w:rsidRDefault="00A32903" w:rsidP="00502859">
      <w:pPr>
        <w:pStyle w:val="Bezodstpw"/>
        <w:jc w:val="both"/>
      </w:pPr>
      <w:r>
        <w:t xml:space="preserve">W gminie Tryńcza, </w:t>
      </w:r>
      <w:r w:rsidR="00502859">
        <w:t xml:space="preserve">minimalne </w:t>
      </w:r>
      <w:r>
        <w:t xml:space="preserve">kryterium </w:t>
      </w:r>
      <w:r w:rsidR="00502859">
        <w:t>spełnione jest dla obszaru całej gminy, w przypadku wskaźnika 21. Z sieci gazowej korzystało w 2014 roku mniej niż 72,5% wszystkich gospodarstw.</w:t>
      </w:r>
    </w:p>
    <w:p w:rsidR="00502859" w:rsidRDefault="00502859" w:rsidP="00502859">
      <w:pPr>
        <w:pStyle w:val="Bezodstpw"/>
        <w:jc w:val="both"/>
      </w:pPr>
    </w:p>
    <w:p w:rsidR="00502859" w:rsidRDefault="00502859" w:rsidP="00502859">
      <w:pPr>
        <w:pStyle w:val="Bezodstpw"/>
        <w:jc w:val="both"/>
      </w:pPr>
    </w:p>
    <w:p w:rsidR="00502859" w:rsidRDefault="00502859" w:rsidP="00502859">
      <w:pPr>
        <w:pStyle w:val="Bezodstpw"/>
        <w:jc w:val="both"/>
      </w:pPr>
    </w:p>
    <w:p w:rsidR="00502859" w:rsidRDefault="00502859" w:rsidP="00502859">
      <w:pPr>
        <w:pStyle w:val="Bezodstpw"/>
        <w:jc w:val="both"/>
      </w:pPr>
    </w:p>
    <w:p w:rsidR="00502859" w:rsidRDefault="00502859" w:rsidP="00502859">
      <w:pPr>
        <w:pStyle w:val="Nagwek2"/>
      </w:pPr>
      <w:bookmarkStart w:id="109" w:name="_Toc496558088"/>
      <w:r>
        <w:lastRenderedPageBreak/>
        <w:t>Obszar zdegradowany - podsumowanie</w:t>
      </w:r>
      <w:bookmarkEnd w:id="109"/>
    </w:p>
    <w:p w:rsidR="00502859" w:rsidRDefault="00502859" w:rsidP="00502859">
      <w:pPr>
        <w:pStyle w:val="Legenda"/>
      </w:pPr>
    </w:p>
    <w:p w:rsidR="00502859" w:rsidRPr="00A32903" w:rsidRDefault="00502859" w:rsidP="00502859">
      <w:pPr>
        <w:pStyle w:val="Legenda"/>
      </w:pPr>
      <w:bookmarkStart w:id="110" w:name="_Toc495887788"/>
      <w:r>
        <w:t xml:space="preserve">Mapa </w:t>
      </w:r>
      <w:r w:rsidR="00172343">
        <w:fldChar w:fldCharType="begin"/>
      </w:r>
      <w:r w:rsidR="00172343">
        <w:instrText xml:space="preserve"> SEQ Mapa \* ARABIC </w:instrText>
      </w:r>
      <w:r w:rsidR="00172343">
        <w:fldChar w:fldCharType="separate"/>
      </w:r>
      <w:r w:rsidR="00883893">
        <w:rPr>
          <w:noProof/>
        </w:rPr>
        <w:t>12</w:t>
      </w:r>
      <w:r w:rsidR="00172343">
        <w:rPr>
          <w:noProof/>
        </w:rPr>
        <w:fldChar w:fldCharType="end"/>
      </w:r>
      <w:r>
        <w:t xml:space="preserve"> Obszar zdegradowany</w:t>
      </w:r>
      <w:bookmarkEnd w:id="110"/>
    </w:p>
    <w:p w:rsidR="00502859" w:rsidRDefault="00502859" w:rsidP="00A32903">
      <w:r>
        <w:rPr>
          <w:noProof/>
          <w:lang w:eastAsia="pl-PL"/>
        </w:rPr>
        <w:drawing>
          <wp:anchor distT="0" distB="0" distL="114300" distR="114300" simplePos="0" relativeHeight="251665408" behindDoc="1" locked="0" layoutInCell="1" allowOverlap="1" wp14:anchorId="59AD9A18" wp14:editId="73FD60CF">
            <wp:simplePos x="0" y="0"/>
            <wp:positionH relativeFrom="column">
              <wp:posOffset>1800225</wp:posOffset>
            </wp:positionH>
            <wp:positionV relativeFrom="paragraph">
              <wp:posOffset>336550</wp:posOffset>
            </wp:positionV>
            <wp:extent cx="4382770" cy="5429250"/>
            <wp:effectExtent l="0" t="0" r="0" b="0"/>
            <wp:wrapTight wrapText="bothSides">
              <wp:wrapPolygon edited="0">
                <wp:start x="0" y="0"/>
                <wp:lineTo x="0" y="21524"/>
                <wp:lineTo x="21500" y="21524"/>
                <wp:lineTo x="21500" y="0"/>
                <wp:lineTo x="0" y="0"/>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2770" cy="5429250"/>
                    </a:xfrm>
                    <a:prstGeom prst="rect">
                      <a:avLst/>
                    </a:prstGeom>
                    <a:noFill/>
                    <a:ln>
                      <a:noFill/>
                    </a:ln>
                  </pic:spPr>
                </pic:pic>
              </a:graphicData>
            </a:graphic>
            <wp14:sizeRelH relativeFrom="page">
              <wp14:pctWidth>0</wp14:pctWidth>
            </wp14:sizeRelH>
            <wp14:sizeRelV relativeFrom="page">
              <wp14:pctHeight>0</wp14:pctHeight>
            </wp14:sizeRelV>
          </wp:anchor>
        </w:drawing>
      </w:r>
      <w:r>
        <w:br/>
        <w:t>Z przedstawionych w Instrukcji k</w:t>
      </w:r>
      <w:r w:rsidR="007446A0">
        <w:t>ategorii</w:t>
      </w:r>
      <w:r>
        <w:t>:</w:t>
      </w:r>
    </w:p>
    <w:p w:rsidR="00502859" w:rsidRDefault="00502859" w:rsidP="00502859">
      <w:pPr>
        <w:pStyle w:val="Akapitzlist"/>
        <w:numPr>
          <w:ilvl w:val="0"/>
          <w:numId w:val="4"/>
        </w:numPr>
      </w:pPr>
      <w:r>
        <w:t>Demografia,</w:t>
      </w:r>
    </w:p>
    <w:p w:rsidR="00502859" w:rsidRDefault="00502859" w:rsidP="00502859">
      <w:pPr>
        <w:pStyle w:val="Akapitzlist"/>
        <w:numPr>
          <w:ilvl w:val="0"/>
          <w:numId w:val="4"/>
        </w:numPr>
      </w:pPr>
      <w:r>
        <w:t>Rynek pracy</w:t>
      </w:r>
    </w:p>
    <w:p w:rsidR="00502859" w:rsidRDefault="00502859" w:rsidP="00502859">
      <w:pPr>
        <w:pStyle w:val="Akapitzlist"/>
        <w:numPr>
          <w:ilvl w:val="0"/>
          <w:numId w:val="4"/>
        </w:numPr>
      </w:pPr>
      <w:r>
        <w:t>Pomoc społeczna</w:t>
      </w:r>
    </w:p>
    <w:p w:rsidR="00502859" w:rsidRDefault="00502859" w:rsidP="00502859">
      <w:pPr>
        <w:pStyle w:val="Akapitzlist"/>
        <w:numPr>
          <w:ilvl w:val="0"/>
          <w:numId w:val="4"/>
        </w:numPr>
      </w:pPr>
      <w:r>
        <w:t>Edukacja</w:t>
      </w:r>
    </w:p>
    <w:p w:rsidR="00502859" w:rsidRDefault="00502859" w:rsidP="00502859">
      <w:pPr>
        <w:pStyle w:val="Akapitzlist"/>
        <w:numPr>
          <w:ilvl w:val="0"/>
          <w:numId w:val="4"/>
        </w:numPr>
      </w:pPr>
      <w:r>
        <w:t>Podmioty gospodarcze</w:t>
      </w:r>
    </w:p>
    <w:p w:rsidR="00502859" w:rsidRDefault="00502859" w:rsidP="00502859">
      <w:pPr>
        <w:pStyle w:val="Akapitzlist"/>
        <w:numPr>
          <w:ilvl w:val="0"/>
          <w:numId w:val="4"/>
        </w:numPr>
      </w:pPr>
      <w:r>
        <w:t>Bezpieczeństwo publiczne</w:t>
      </w:r>
    </w:p>
    <w:p w:rsidR="00502859" w:rsidRDefault="00502859" w:rsidP="00502859">
      <w:pPr>
        <w:pStyle w:val="Akapitzlist"/>
        <w:numPr>
          <w:ilvl w:val="0"/>
          <w:numId w:val="4"/>
        </w:numPr>
      </w:pPr>
      <w:r>
        <w:t>Uwarunkowania przestrzenne</w:t>
      </w:r>
    </w:p>
    <w:p w:rsidR="00502859" w:rsidRDefault="00502859" w:rsidP="00502859">
      <w:pPr>
        <w:pStyle w:val="Akapitzlist"/>
        <w:numPr>
          <w:ilvl w:val="0"/>
          <w:numId w:val="4"/>
        </w:numPr>
      </w:pPr>
      <w:r>
        <w:t>Integracja społeczna, i</w:t>
      </w:r>
    </w:p>
    <w:p w:rsidR="00502859" w:rsidRDefault="00502859" w:rsidP="00502859">
      <w:pPr>
        <w:pStyle w:val="Akapitzlist"/>
        <w:numPr>
          <w:ilvl w:val="0"/>
          <w:numId w:val="4"/>
        </w:numPr>
      </w:pPr>
      <w:r>
        <w:t>Ochrona środowiska</w:t>
      </w:r>
    </w:p>
    <w:p w:rsidR="00502859" w:rsidRDefault="00502859" w:rsidP="00502859">
      <w:r>
        <w:t xml:space="preserve">nie poddano szczegółowej analizie następujących </w:t>
      </w:r>
      <w:r w:rsidR="007446A0">
        <w:t>kategorii</w:t>
      </w:r>
      <w:r>
        <w:t>: edukacja (wyższy poziom wskaźników niż dane referencyjne), bezpieczeństwo publiczne (niższy udział przestępstw niż wymagane dane referencyjne) i uwarunkowania przestrzenne (brak danych). Tym samym poszczególne miejscowości gminy Tryńcza spełniają</w:t>
      </w:r>
      <w:r w:rsidR="007446A0">
        <w:t xml:space="preserve"> wymagane kryteria w </w:t>
      </w:r>
      <w:r>
        <w:t xml:space="preserve"> 5 lub 6 </w:t>
      </w:r>
      <w:r w:rsidR="007446A0">
        <w:t>kategoriach</w:t>
      </w:r>
      <w:r>
        <w:t>.            Źródło: Opracowanie własne</w:t>
      </w:r>
    </w:p>
    <w:p w:rsidR="000C01C6" w:rsidRDefault="000C01C6" w:rsidP="000C01C6"/>
    <w:p w:rsidR="00502859" w:rsidRDefault="00502859" w:rsidP="00502859">
      <w:pPr>
        <w:jc w:val="both"/>
      </w:pPr>
      <w:r>
        <w:t xml:space="preserve">Tym samym cały obszar gminy Tryńcza, zgodnie z wymaganiami </w:t>
      </w:r>
      <w:r w:rsidRPr="00502859">
        <w:rPr>
          <w:i/>
        </w:rPr>
        <w:t xml:space="preserve">Instrukcji </w:t>
      </w:r>
      <w:r w:rsidRPr="007C3562">
        <w:rPr>
          <w:i/>
        </w:rPr>
        <w:t>przygotowania programów rewitalizacji w zakresie wsparcia w ramach Regionalnego Programu Operacyjnego Województwa Podkarpackiego na lata 2014-2020</w:t>
      </w:r>
      <w:r>
        <w:rPr>
          <w:i/>
        </w:rPr>
        <w:t xml:space="preserve"> </w:t>
      </w:r>
      <w:r w:rsidRPr="00502859">
        <w:t>z</w:t>
      </w:r>
      <w:r w:rsidR="00763DD6">
        <w:t>może zostać</w:t>
      </w:r>
      <w:r w:rsidRPr="00502859">
        <w:t xml:space="preserve"> uznany za obszar zdegradowany.</w:t>
      </w:r>
    </w:p>
    <w:p w:rsidR="00502859" w:rsidRDefault="00502859" w:rsidP="00502859">
      <w:pPr>
        <w:jc w:val="both"/>
      </w:pPr>
    </w:p>
    <w:p w:rsidR="00502859" w:rsidRPr="000C01C6" w:rsidRDefault="00502859" w:rsidP="00502859">
      <w:pPr>
        <w:jc w:val="both"/>
      </w:pPr>
    </w:p>
    <w:p w:rsidR="00530737" w:rsidRDefault="0078649A" w:rsidP="0078649A">
      <w:pPr>
        <w:pStyle w:val="Nagwek1"/>
      </w:pPr>
      <w:bookmarkStart w:id="111" w:name="_Toc496558089"/>
      <w:r>
        <w:lastRenderedPageBreak/>
        <w:t>Obszar rewitalizacji</w:t>
      </w:r>
      <w:bookmarkEnd w:id="111"/>
    </w:p>
    <w:p w:rsidR="00530737" w:rsidRDefault="00530737" w:rsidP="00530737"/>
    <w:p w:rsidR="0078649A" w:rsidRDefault="0078649A" w:rsidP="001A0127">
      <w:pPr>
        <w:ind w:firstLine="708"/>
        <w:jc w:val="both"/>
      </w:pPr>
      <w:r>
        <w:t>Zgodnie z zapisami Rozdziału 3. Wytycznych Ministra</w:t>
      </w:r>
      <w:r w:rsidR="008E49A5">
        <w:t>,</w:t>
      </w:r>
      <w:r>
        <w:t xml:space="preserve"> obszar rewitalizacji to obszar obejmujący całość lub część obszaru zdegradowanego,</w:t>
      </w:r>
      <w:r w:rsidR="001A0127">
        <w:t xml:space="preserve"> </w:t>
      </w:r>
      <w:r>
        <w:t>cechującego się szczególną k</w:t>
      </w:r>
      <w:r w:rsidR="001A0127">
        <w:t>oncentracją negatywnych zjawisk</w:t>
      </w:r>
      <w:r>
        <w:t>, na którym, z uwagi na istotne znaczenie dla rozwoju lokalnego, zamierza się</w:t>
      </w:r>
      <w:r w:rsidR="001A0127">
        <w:t xml:space="preserve"> </w:t>
      </w:r>
      <w:r>
        <w:t>prowadzić rewitalizację. Obszar rewitalizacji może być podzielony na podobszary, w tym podobszary nieposiadające ze sobą wspólnych granic,</w:t>
      </w:r>
      <w:r w:rsidR="001A0127">
        <w:t xml:space="preserve"> </w:t>
      </w:r>
      <w:r>
        <w:t>lecz nie może obejmować terenów większych niż 20% powierzchni gminy oraz zamieszkałych przez więcej niż 30% mieszkańców gminy. W skład obszaru rewitalizacji mogą wejść obszary występowania problemów przestrzennych, takich jak tereny poprzemysłowe (w tym poportowe i powydobywcze), powojsk</w:t>
      </w:r>
      <w:r w:rsidR="007446A0">
        <w:t>owe lub pokolejowe, wyłącznie w </w:t>
      </w:r>
      <w:r>
        <w:t>przypadku, gdy przewidziane dla nich działania są ściśle powiązane z celami rewitalizacji dla danego obszaru rewitalizacji.</w:t>
      </w:r>
    </w:p>
    <w:p w:rsidR="00530737" w:rsidRDefault="0078649A" w:rsidP="001A0127">
      <w:pPr>
        <w:ind w:firstLine="708"/>
        <w:jc w:val="both"/>
      </w:pPr>
      <w:r>
        <w:t>Gmina wyznacza obszar rewitalizacji w oparciu o rozstrzygnięcia dokumentów strategicznych lub planistycznych, albo indywidualne kryteria wraz</w:t>
      </w:r>
      <w:r w:rsidR="001A0127">
        <w:t xml:space="preserve"> </w:t>
      </w:r>
      <w:r>
        <w:t>z odniesieniem ich do wartości referencyjnych dla danej gminy i przy uwzględnieniu wartości referencyjnych wskazanych przez IZ RPO (jako</w:t>
      </w:r>
      <w:r w:rsidR="001A0127">
        <w:t xml:space="preserve"> </w:t>
      </w:r>
      <w:r>
        <w:t>kwalifikujących obszar rewitalizacji do wsparcia w ramach RPO WP 2014-2020). Wartości referencyjne są dodatkowym kryterium ustalonym</w:t>
      </w:r>
      <w:r w:rsidR="001A0127">
        <w:t xml:space="preserve"> </w:t>
      </w:r>
      <w:r>
        <w:t>przez IZ, które ma wskazać obszar rewitalizacji (ustalony przez gminę) możliwy do wsparcia w ramach projektów przeznaczonych do</w:t>
      </w:r>
      <w:r w:rsidR="001A0127">
        <w:t xml:space="preserve"> </w:t>
      </w:r>
      <w:r>
        <w:t>dofinansowania w RPO WP 2014-2020. Ma to ukierunkować wsparcie RPO WP 2014-2020 na najbardziej dotknięte problemami obszary</w:t>
      </w:r>
      <w:r w:rsidR="001A0127">
        <w:t xml:space="preserve"> </w:t>
      </w:r>
      <w:r>
        <w:t>województwa podkarpackiego</w:t>
      </w:r>
      <w:r w:rsidR="008E49A5">
        <w:t>.</w:t>
      </w:r>
    </w:p>
    <w:p w:rsidR="008E49A5" w:rsidRDefault="008E49A5" w:rsidP="001A0127">
      <w:pPr>
        <w:ind w:firstLine="708"/>
        <w:jc w:val="both"/>
      </w:pPr>
      <w:r>
        <w:t xml:space="preserve">Uwzględniając cele i uwarunkowania zawarte w dokumentach strategicznych (zapisy Strategii Rozwoju Gminy Tryńcza, Strategii Rozwiązywania Problemów Społecznych), planistycznych (Studium Uwarunkowań i Miejscowe Plany Zagospodarowania Przestrzennego) a także wnioski ze spotkania konsultacyjnego przeprowadzonego w dniu 13 stycznia 2017 roku, obszar rewitalizacji Gminy Tryńcza obejmuje cztery podobszary: </w:t>
      </w:r>
    </w:p>
    <w:p w:rsidR="008E49A5" w:rsidRPr="009C6581" w:rsidRDefault="008E49A5" w:rsidP="008E49A5">
      <w:pPr>
        <w:pStyle w:val="Akapitzlist"/>
        <w:numPr>
          <w:ilvl w:val="0"/>
          <w:numId w:val="5"/>
        </w:numPr>
        <w:jc w:val="both"/>
      </w:pPr>
      <w:r>
        <w:t xml:space="preserve">Podobszar Głogowiec (powierzchnia 29,4 </w:t>
      </w:r>
      <w:r w:rsidRPr="009C6581">
        <w:t>ha</w:t>
      </w:r>
      <w:r w:rsidR="007C545B" w:rsidRPr="009C6581">
        <w:t xml:space="preserve"> – ludność 114 osób</w:t>
      </w:r>
      <w:r w:rsidRPr="009C6581">
        <w:t>)</w:t>
      </w:r>
    </w:p>
    <w:p w:rsidR="008E49A5" w:rsidRPr="009C6581" w:rsidRDefault="008E49A5" w:rsidP="008E49A5">
      <w:pPr>
        <w:pStyle w:val="Akapitzlist"/>
        <w:numPr>
          <w:ilvl w:val="0"/>
          <w:numId w:val="5"/>
        </w:numPr>
        <w:jc w:val="both"/>
      </w:pPr>
      <w:r w:rsidRPr="009C6581">
        <w:t>Podobszar Tryńcza – Wólka Małkowa (110, 46 ha</w:t>
      </w:r>
      <w:r w:rsidR="007C545B" w:rsidRPr="009C6581">
        <w:t xml:space="preserve"> – ludność 180 osób</w:t>
      </w:r>
      <w:r w:rsidRPr="009C6581">
        <w:t>)</w:t>
      </w:r>
    </w:p>
    <w:p w:rsidR="008E49A5" w:rsidRPr="009C6581" w:rsidRDefault="008E49A5" w:rsidP="008E49A5">
      <w:pPr>
        <w:pStyle w:val="Akapitzlist"/>
        <w:numPr>
          <w:ilvl w:val="0"/>
          <w:numId w:val="5"/>
        </w:numPr>
        <w:jc w:val="both"/>
      </w:pPr>
      <w:r w:rsidRPr="009C6581">
        <w:t>Podobszar Gniewczyna Łańcucka (346,02 ha</w:t>
      </w:r>
      <w:r w:rsidR="007C545B" w:rsidRPr="009C6581">
        <w:t xml:space="preserve"> – ludność 520 osób</w:t>
      </w:r>
      <w:r w:rsidRPr="009C6581">
        <w:t>)</w:t>
      </w:r>
    </w:p>
    <w:p w:rsidR="008E49A5" w:rsidRPr="009C6581" w:rsidRDefault="008E49A5" w:rsidP="008E49A5">
      <w:pPr>
        <w:pStyle w:val="Akapitzlist"/>
        <w:numPr>
          <w:ilvl w:val="0"/>
          <w:numId w:val="5"/>
        </w:numPr>
        <w:jc w:val="both"/>
      </w:pPr>
      <w:r w:rsidRPr="009C6581">
        <w:t>Podobszar Jagiełła (98,9 ha</w:t>
      </w:r>
      <w:r w:rsidR="007C545B" w:rsidRPr="009C6581">
        <w:t xml:space="preserve"> – ludność 522 osoby</w:t>
      </w:r>
      <w:r w:rsidRPr="009C6581">
        <w:t>),</w:t>
      </w:r>
    </w:p>
    <w:p w:rsidR="008E49A5" w:rsidRPr="009C6581" w:rsidRDefault="008E49A5" w:rsidP="008E49A5">
      <w:pPr>
        <w:jc w:val="both"/>
      </w:pPr>
      <w:r w:rsidRPr="009C6581">
        <w:t>Zgodnie z delimitacją uwzględniającą tereny poprzemysłowe (tereny dawnej fabryki Wagonów) i przeznaczone na rozwój przedsiębiorczości oraz tereny planowanych inwestycji społecznych (infrastruktura domów pomocy społecznej i ośrodków opieki senioralnej).</w:t>
      </w:r>
    </w:p>
    <w:p w:rsidR="007C545B" w:rsidRDefault="007C545B" w:rsidP="008E49A5">
      <w:pPr>
        <w:jc w:val="both"/>
      </w:pPr>
      <w:r w:rsidRPr="009C6581">
        <w:tab/>
        <w:t>Tym samym wyznaczony obszar rewitalizacji obejmuje 584.78 ha (8,35% powierzchni ogółem) oraz 1336 mieszkańców (15,94% ludności ogółem – wg danych za 2015 rok).</w:t>
      </w:r>
    </w:p>
    <w:p w:rsidR="008E49A5" w:rsidRDefault="008E49A5" w:rsidP="008E49A5">
      <w:pPr>
        <w:jc w:val="both"/>
      </w:pPr>
    </w:p>
    <w:p w:rsidR="008E49A5" w:rsidRDefault="008E49A5" w:rsidP="008E49A5">
      <w:pPr>
        <w:jc w:val="both"/>
      </w:pPr>
    </w:p>
    <w:p w:rsidR="008E49A5" w:rsidRDefault="008E49A5" w:rsidP="008E49A5">
      <w:pPr>
        <w:jc w:val="both"/>
      </w:pPr>
    </w:p>
    <w:p w:rsidR="008E49A5" w:rsidRDefault="008E49A5" w:rsidP="008E49A5">
      <w:pPr>
        <w:jc w:val="both"/>
      </w:pPr>
    </w:p>
    <w:p w:rsidR="008E49A5" w:rsidRDefault="008E49A5" w:rsidP="008E49A5">
      <w:pPr>
        <w:pStyle w:val="Legenda"/>
      </w:pPr>
      <w:bookmarkStart w:id="112" w:name="_Toc495887789"/>
      <w:r>
        <w:lastRenderedPageBreak/>
        <w:t xml:space="preserve">Mapa </w:t>
      </w:r>
      <w:r w:rsidR="00172343">
        <w:fldChar w:fldCharType="begin"/>
      </w:r>
      <w:r w:rsidR="00172343">
        <w:instrText xml:space="preserve"> SEQ Mapa \* ARABIC </w:instrText>
      </w:r>
      <w:r w:rsidR="00172343">
        <w:fldChar w:fldCharType="separate"/>
      </w:r>
      <w:r w:rsidR="00883893">
        <w:rPr>
          <w:noProof/>
        </w:rPr>
        <w:t>13</w:t>
      </w:r>
      <w:bookmarkEnd w:id="112"/>
      <w:r w:rsidR="00172343">
        <w:rPr>
          <w:noProof/>
        </w:rPr>
        <w:fldChar w:fldCharType="end"/>
      </w:r>
    </w:p>
    <w:p w:rsidR="008E49A5" w:rsidRPr="008E49A5" w:rsidRDefault="008E49A5" w:rsidP="008E49A5">
      <w:r>
        <w:rPr>
          <w:noProof/>
          <w:lang w:eastAsia="pl-PL"/>
        </w:rPr>
        <w:drawing>
          <wp:inline distT="0" distB="0" distL="0" distR="0">
            <wp:extent cx="5762625" cy="822007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625" cy="8220075"/>
                    </a:xfrm>
                    <a:prstGeom prst="rect">
                      <a:avLst/>
                    </a:prstGeom>
                    <a:noFill/>
                    <a:ln>
                      <a:noFill/>
                    </a:ln>
                  </pic:spPr>
                </pic:pic>
              </a:graphicData>
            </a:graphic>
          </wp:inline>
        </w:drawing>
      </w:r>
    </w:p>
    <w:p w:rsidR="008F0497" w:rsidRDefault="008F0497" w:rsidP="001A0127">
      <w:pPr>
        <w:ind w:firstLine="708"/>
        <w:jc w:val="both"/>
      </w:pPr>
    </w:p>
    <w:p w:rsidR="008F0497" w:rsidRDefault="008F0497" w:rsidP="008F0497">
      <w:pPr>
        <w:pStyle w:val="Nagwek1"/>
      </w:pPr>
      <w:bookmarkStart w:id="113" w:name="_Toc496558090"/>
      <w:r>
        <w:lastRenderedPageBreak/>
        <w:t>Szczegółowa</w:t>
      </w:r>
      <w:r w:rsidR="00D711AD">
        <w:t xml:space="preserve"> diagnoza obszaru rewitalizacji</w:t>
      </w:r>
      <w:bookmarkEnd w:id="113"/>
    </w:p>
    <w:p w:rsidR="008F0497" w:rsidRDefault="008F0497" w:rsidP="008F0497"/>
    <w:p w:rsidR="00D711AD" w:rsidRDefault="00D711AD" w:rsidP="00D67FEC">
      <w:pPr>
        <w:pStyle w:val="Nagwek2"/>
        <w:jc w:val="both"/>
      </w:pPr>
      <w:bookmarkStart w:id="114" w:name="_Toc496558091"/>
      <w:r>
        <w:t>Warunki delimitacji, o których mowa w Ustawie o rewitalizacji i Instrukcji przygotowania programów rewitalizacji w zakresie wsparcia w ramach Regionalnego Programu Operacyjnego Województwa Podkarpackiego na lata 2014-2020</w:t>
      </w:r>
      <w:bookmarkEnd w:id="114"/>
      <w:r>
        <w:t xml:space="preserve"> </w:t>
      </w:r>
    </w:p>
    <w:p w:rsidR="00D711AD" w:rsidRDefault="00D711AD" w:rsidP="00D711AD">
      <w:pPr>
        <w:pStyle w:val="Nagwek2"/>
      </w:pPr>
      <w:r>
        <w:t xml:space="preserve"> </w:t>
      </w:r>
    </w:p>
    <w:p w:rsidR="008F0497" w:rsidRDefault="008F0497" w:rsidP="008F0497">
      <w:pPr>
        <w:ind w:firstLine="708"/>
        <w:jc w:val="both"/>
      </w:pPr>
      <w:r>
        <w:t>Zgodnie z art. 9 ust. 1 Ustawy o rewitalizacji  (</w:t>
      </w:r>
      <w:r w:rsidRPr="008F0497">
        <w:t>t.j. Dz. U. z 2017 r. poz. 1023, 1529, 1566.</w:t>
      </w:r>
      <w:r>
        <w:t>) „Obszar gminy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 można wyznaczyć jako obszar zdegradowany w przypadku występowania na nim ponadto co najmniej jednego z następujących negatywnych zjawisk:</w:t>
      </w:r>
    </w:p>
    <w:p w:rsidR="008F0497" w:rsidRDefault="008F0497" w:rsidP="008F0497">
      <w:pPr>
        <w:jc w:val="both"/>
      </w:pPr>
      <w:r>
        <w:t>1) gospodarczych – w szczególności niskiego stopnia przedsiębiorczości, słabej kondycji lokalnych przedsiębiorstw lub</w:t>
      </w:r>
    </w:p>
    <w:p w:rsidR="008F0497" w:rsidRDefault="008F0497" w:rsidP="008F0497">
      <w:pPr>
        <w:jc w:val="both"/>
      </w:pPr>
      <w:r>
        <w:t>2) środowiskowych – w szczególności przekroczenia standardów jakości środowiska, obecności odpadów stwarzających zagrożenie dla życia, zdrowia ludzi lub stanu środowiska, lub</w:t>
      </w:r>
    </w:p>
    <w:p w:rsidR="008F0497" w:rsidRDefault="008F0497" w:rsidP="008F0497">
      <w:pPr>
        <w:jc w:val="both"/>
      </w:pPr>
      <w:r>
        <w:t>3) przestrzenno-funkcjonalnych – w szczególności niewystarczającego wyposażenia w 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jakości terenów publicznych, lub</w:t>
      </w:r>
    </w:p>
    <w:p w:rsidR="008F0497" w:rsidRDefault="008F0497" w:rsidP="008F0497">
      <w:pPr>
        <w:jc w:val="both"/>
      </w:pPr>
      <w:r>
        <w:t>4) technicznych – w szczególności degradacji stanu technicznego obiektów budowlanych, w tym o przeznaczeniu mieszkaniowym, oraz niefunkcjonowaniu rozwiązań technicznych umożliwiających efektywne korzystanie z obiektów budowlanych, w szczególności w zakresie energooszczędności i ochrony środowiska.</w:t>
      </w:r>
    </w:p>
    <w:p w:rsidR="008F0497" w:rsidRDefault="008F0497" w:rsidP="004526A8">
      <w:pPr>
        <w:ind w:firstLine="708"/>
        <w:jc w:val="both"/>
      </w:pPr>
      <w:r>
        <w:t>Zgodnie z przedstawioną analiz</w:t>
      </w:r>
      <w:r w:rsidR="004526A8">
        <w:t>ą</w:t>
      </w:r>
      <w:r>
        <w:t xml:space="preserve"> obszaru gminy Tryńcza (na podstawie danych statystycznych)  oraz pogłębioną  analizą według kryteriów i wskaźników </w:t>
      </w:r>
      <w:r w:rsidRPr="008F0497">
        <w:rPr>
          <w:i/>
        </w:rPr>
        <w:t xml:space="preserve">Instrukcji </w:t>
      </w:r>
      <w:r w:rsidRPr="007C3562">
        <w:rPr>
          <w:i/>
        </w:rPr>
        <w:t>przygotowania programów rewitalizacji w zakresie wsparcia w</w:t>
      </w:r>
      <w:r>
        <w:rPr>
          <w:i/>
        </w:rPr>
        <w:t> </w:t>
      </w:r>
      <w:r w:rsidRPr="007C3562">
        <w:rPr>
          <w:i/>
        </w:rPr>
        <w:t>ramach Regionalnego Programu Operacyjnego Województwa Podkarpackiego na lata 2014-2020</w:t>
      </w:r>
      <w:r>
        <w:rPr>
          <w:i/>
        </w:rPr>
        <w:t xml:space="preserve"> </w:t>
      </w:r>
      <w:r w:rsidRPr="008F0497">
        <w:t>w podziale na miejscowości gminne</w:t>
      </w:r>
      <w:r>
        <w:t xml:space="preserve"> (dane Urzędu Gminy Tryńcza, GOPS, PUP w Przeworsku) jako negatywne zjawiska społeczne uznano bezrobocie i ubóstwo a także niewystarczającego poziomu uczestnictwa w życiu publicznym i kulturalnym.</w:t>
      </w:r>
      <w:r w:rsidR="004526A8">
        <w:t xml:space="preserve"> Wymienione problemy społeczne według analizowanych wskaźników spełniają warunki Instrukcji dla następujących trzech kategorii: </w:t>
      </w:r>
      <w:r w:rsidR="004526A8" w:rsidRPr="00D711AD">
        <w:rPr>
          <w:b/>
        </w:rPr>
        <w:t>a) Demografia, b) Rynek pracy, c) Pomoc społeczna.</w:t>
      </w:r>
    </w:p>
    <w:p w:rsidR="004526A8" w:rsidRDefault="004526A8" w:rsidP="00D711AD">
      <w:pPr>
        <w:ind w:firstLine="708"/>
        <w:jc w:val="both"/>
      </w:pPr>
      <w:r>
        <w:t xml:space="preserve">Zgodnie z Ustawą o rewitalizacji obszar kryzysowy poza problemami społecznymi boryka się również z negatywnymi zjawiskami gospodarczymi – w gminie Tryńcza jest to głównie niskie nasycenie przedsiębiorczością, silne rozdrobnienie przedsiębiorstw, brak średnich i dużych przedsiębiorstw, a także upadek fabryki wagonów i pustka rynkowa  rozumiana zarówno przestrzennie jak tez w sferze osób na rynku pracy – ponad 600 osób na przełomie 2014/2015 roku straciło pracę (zgodnie z Instrukcją jest to </w:t>
      </w:r>
      <w:r w:rsidRPr="00D711AD">
        <w:rPr>
          <w:b/>
        </w:rPr>
        <w:t xml:space="preserve">kryterium </w:t>
      </w:r>
      <w:r w:rsidRPr="00D711AD">
        <w:rPr>
          <w:b/>
          <w:i/>
        </w:rPr>
        <w:t>Podmioty gospodarcze</w:t>
      </w:r>
      <w:r>
        <w:t>)  oraz przestrzenno-</w:t>
      </w:r>
      <w:r>
        <w:lastRenderedPageBreak/>
        <w:t xml:space="preserve">funkcjonalnymi  dotyczącymi niewystarczającej infrastruktury </w:t>
      </w:r>
      <w:r w:rsidR="00D67FEC">
        <w:t>społecznej (zwłaszcza z myślą o </w:t>
      </w:r>
      <w:r>
        <w:t xml:space="preserve">seniorach, osobach niepełnosprawnych i  przewlekle chorych). </w:t>
      </w:r>
      <w:r w:rsidR="00D67FEC">
        <w:t xml:space="preserve"> </w:t>
      </w:r>
      <w:r>
        <w:t xml:space="preserve">Ponadto zgodnie z Instrukcją </w:t>
      </w:r>
      <w:r w:rsidR="00D711AD">
        <w:t xml:space="preserve">obszar kryzysowy wyznaczony na terenie gminy Tryńcza spełnia również piąte </w:t>
      </w:r>
      <w:r w:rsidR="00D711AD" w:rsidRPr="00D711AD">
        <w:rPr>
          <w:b/>
        </w:rPr>
        <w:t>kryterium  - Integracja społeczna.</w:t>
      </w:r>
    </w:p>
    <w:p w:rsidR="00D67FEC" w:rsidRPr="00D67FEC" w:rsidRDefault="00D67FEC" w:rsidP="00D67FEC">
      <w:pPr>
        <w:pStyle w:val="Legenda"/>
      </w:pPr>
      <w:bookmarkStart w:id="115" w:name="_Toc495887814"/>
      <w:r>
        <w:t xml:space="preserve">Tabela </w:t>
      </w:r>
      <w:r w:rsidR="00172343">
        <w:fldChar w:fldCharType="begin"/>
      </w:r>
      <w:r w:rsidR="00172343">
        <w:instrText xml:space="preserve"> SEQ Tabela \* ARABIC </w:instrText>
      </w:r>
      <w:r w:rsidR="00172343">
        <w:fldChar w:fldCharType="separate"/>
      </w:r>
      <w:r>
        <w:rPr>
          <w:noProof/>
        </w:rPr>
        <w:t>25</w:t>
      </w:r>
      <w:r w:rsidR="00172343">
        <w:rPr>
          <w:noProof/>
        </w:rPr>
        <w:fldChar w:fldCharType="end"/>
      </w:r>
      <w:r>
        <w:t xml:space="preserve"> </w:t>
      </w:r>
      <w:r w:rsidRPr="00D67FEC">
        <w:t>Wskaźniki świadczące o sytuacji kryzysowej obszaru rewitalizacji na terenie Gminy Tryńcza</w:t>
      </w:r>
      <w:bookmarkEnd w:id="115"/>
    </w:p>
    <w:tbl>
      <w:tblPr>
        <w:tblStyle w:val="Tabelasiatki5ciemnaakcent32"/>
        <w:tblW w:w="0" w:type="auto"/>
        <w:tblLook w:val="04A0" w:firstRow="1" w:lastRow="0" w:firstColumn="1" w:lastColumn="0" w:noHBand="0" w:noVBand="1"/>
      </w:tblPr>
      <w:tblGrid>
        <w:gridCol w:w="2376"/>
        <w:gridCol w:w="6836"/>
      </w:tblGrid>
      <w:tr w:rsidR="00D711AD" w:rsidRPr="003B7B70" w:rsidTr="003B7B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711AD" w:rsidRPr="003B7B70" w:rsidRDefault="00DD2B32" w:rsidP="004526A8">
            <w:pPr>
              <w:jc w:val="both"/>
              <w:rPr>
                <w:rFonts w:asciiTheme="minorHAnsi" w:hAnsiTheme="minorHAnsi" w:cstheme="minorHAnsi"/>
              </w:rPr>
            </w:pPr>
            <w:r w:rsidRPr="003B7B70">
              <w:rPr>
                <w:rFonts w:asciiTheme="minorHAnsi" w:hAnsiTheme="minorHAnsi" w:cstheme="minorHAnsi"/>
              </w:rPr>
              <w:t>Kryterium delimitacji</w:t>
            </w:r>
          </w:p>
        </w:tc>
        <w:tc>
          <w:tcPr>
            <w:tcW w:w="6836" w:type="dxa"/>
          </w:tcPr>
          <w:p w:rsidR="00D711AD" w:rsidRPr="003B7B70" w:rsidRDefault="00DD2B32" w:rsidP="004526A8">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Nazwa wskaźnika i jego wartość</w:t>
            </w:r>
          </w:p>
        </w:tc>
      </w:tr>
      <w:tr w:rsidR="00DD2B32" w:rsidRPr="003B7B70" w:rsidTr="003B7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D2B32" w:rsidRPr="003B7B70" w:rsidRDefault="00DD2B32" w:rsidP="003B7B70">
            <w:pPr>
              <w:jc w:val="both"/>
              <w:rPr>
                <w:rFonts w:asciiTheme="minorHAnsi" w:hAnsiTheme="minorHAnsi" w:cstheme="minorHAnsi"/>
              </w:rPr>
            </w:pPr>
            <w:r w:rsidRPr="003B7B70">
              <w:rPr>
                <w:rFonts w:asciiTheme="minorHAnsi" w:hAnsiTheme="minorHAnsi" w:cstheme="minorHAnsi"/>
              </w:rPr>
              <w:t>Powierzchnia obszaru</w:t>
            </w:r>
          </w:p>
        </w:tc>
        <w:tc>
          <w:tcPr>
            <w:tcW w:w="6836" w:type="dxa"/>
          </w:tcPr>
          <w:p w:rsidR="00DD2B32" w:rsidRPr="009C6581" w:rsidRDefault="00DD2B32" w:rsidP="003B7B7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C6581">
              <w:rPr>
                <w:rFonts w:asciiTheme="minorHAnsi" w:hAnsiTheme="minorHAnsi" w:cstheme="minorHAnsi"/>
              </w:rPr>
              <w:t>584.78 ha (</w:t>
            </w:r>
            <w:r w:rsidRPr="009C6581">
              <w:rPr>
                <w:rFonts w:asciiTheme="minorHAnsi" w:hAnsiTheme="minorHAnsi" w:cstheme="minorHAnsi"/>
                <w:b/>
              </w:rPr>
              <w:t>8,35% powierzchni ogółem</w:t>
            </w:r>
            <w:r w:rsidRPr="009C6581">
              <w:rPr>
                <w:rFonts w:asciiTheme="minorHAnsi" w:hAnsiTheme="minorHAnsi" w:cstheme="minorHAnsi"/>
              </w:rPr>
              <w:t>)</w:t>
            </w:r>
          </w:p>
        </w:tc>
      </w:tr>
      <w:tr w:rsidR="00DD2B32" w:rsidRPr="003B7B70" w:rsidTr="003B7B70">
        <w:tc>
          <w:tcPr>
            <w:cnfStyle w:val="001000000000" w:firstRow="0" w:lastRow="0" w:firstColumn="1" w:lastColumn="0" w:oddVBand="0" w:evenVBand="0" w:oddHBand="0" w:evenHBand="0" w:firstRowFirstColumn="0" w:firstRowLastColumn="0" w:lastRowFirstColumn="0" w:lastRowLastColumn="0"/>
            <w:tcW w:w="2376" w:type="dxa"/>
          </w:tcPr>
          <w:p w:rsidR="00DD2B32" w:rsidRPr="003B7B70" w:rsidRDefault="00DD2B32" w:rsidP="004526A8">
            <w:pPr>
              <w:jc w:val="both"/>
              <w:rPr>
                <w:rFonts w:asciiTheme="minorHAnsi" w:hAnsiTheme="minorHAnsi" w:cstheme="minorHAnsi"/>
              </w:rPr>
            </w:pPr>
            <w:r w:rsidRPr="003B7B70">
              <w:rPr>
                <w:rFonts w:asciiTheme="minorHAnsi" w:hAnsiTheme="minorHAnsi" w:cstheme="minorHAnsi"/>
              </w:rPr>
              <w:t>Mieszkańcy obszaru</w:t>
            </w:r>
          </w:p>
        </w:tc>
        <w:tc>
          <w:tcPr>
            <w:tcW w:w="6836" w:type="dxa"/>
          </w:tcPr>
          <w:p w:rsidR="00DD2B32" w:rsidRPr="009C6581" w:rsidRDefault="00DD2B32" w:rsidP="004526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6581">
              <w:rPr>
                <w:rFonts w:asciiTheme="minorHAnsi" w:hAnsiTheme="minorHAnsi" w:cstheme="minorHAnsi"/>
              </w:rPr>
              <w:t>1336 mieszkańców (</w:t>
            </w:r>
            <w:r w:rsidRPr="009C6581">
              <w:rPr>
                <w:rFonts w:asciiTheme="minorHAnsi" w:hAnsiTheme="minorHAnsi" w:cstheme="minorHAnsi"/>
                <w:b/>
              </w:rPr>
              <w:t>15,94% ludności ogółem</w:t>
            </w:r>
            <w:r w:rsidRPr="009C6581">
              <w:rPr>
                <w:rFonts w:asciiTheme="minorHAnsi" w:hAnsiTheme="minorHAnsi" w:cstheme="minorHAnsi"/>
              </w:rPr>
              <w:t xml:space="preserve"> – wg danych za 2015 rok).</w:t>
            </w:r>
          </w:p>
        </w:tc>
      </w:tr>
      <w:tr w:rsidR="00DD2B32" w:rsidRPr="003B7B70" w:rsidTr="003B7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D2B32" w:rsidRPr="003B7B70" w:rsidRDefault="00F905EC" w:rsidP="00F905EC">
            <w:pPr>
              <w:jc w:val="both"/>
              <w:rPr>
                <w:rFonts w:asciiTheme="minorHAnsi" w:hAnsiTheme="minorHAnsi" w:cstheme="minorHAnsi"/>
              </w:rPr>
            </w:pPr>
            <w:r w:rsidRPr="003B7B70">
              <w:rPr>
                <w:rFonts w:asciiTheme="minorHAnsi" w:hAnsiTheme="minorHAnsi" w:cstheme="minorHAnsi"/>
              </w:rPr>
              <w:t>Negatywne zjawiska społeczne - b</w:t>
            </w:r>
            <w:r w:rsidR="00DD2B32" w:rsidRPr="003B7B70">
              <w:rPr>
                <w:rFonts w:asciiTheme="minorHAnsi" w:hAnsiTheme="minorHAnsi" w:cstheme="minorHAnsi"/>
              </w:rPr>
              <w:t>ezrobocie</w:t>
            </w:r>
          </w:p>
        </w:tc>
        <w:tc>
          <w:tcPr>
            <w:tcW w:w="6836" w:type="dxa"/>
          </w:tcPr>
          <w:p w:rsidR="00DD2B32" w:rsidRPr="003B7B70" w:rsidRDefault="00DD2B32" w:rsidP="00DD2B32">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Udział bezrobotnych zarejestrowanych w liczbie ludności w wieku produkcyjnym wg miejsca zamieszkania – </w:t>
            </w:r>
            <w:r w:rsidRPr="003B7B70">
              <w:rPr>
                <w:rFonts w:asciiTheme="minorHAnsi" w:hAnsiTheme="minorHAnsi" w:cstheme="minorHAnsi"/>
                <w:b/>
              </w:rPr>
              <w:t>13,73% ogółem, 12,4% mężczyźni, 15,31% kobiety</w:t>
            </w:r>
          </w:p>
          <w:p w:rsidR="00DD2B32" w:rsidRPr="003B7B70" w:rsidRDefault="00DD2B32" w:rsidP="00DD2B32">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(zgodnie z Instrukcją wskaźnik 6 kategorii Rynek pracy za 2014 rok przyjął następujące dane referencyjne: województwo – 10,20% bezrobotnych ogółem, powiat przeworski – 11,39% bezrobotnych ogółem</w:t>
            </w:r>
            <w:r w:rsidRPr="003B7B70">
              <w:rPr>
                <w:rFonts w:asciiTheme="minorHAnsi" w:hAnsiTheme="minorHAnsi" w:cstheme="minorHAnsi"/>
              </w:rPr>
              <w:t>)</w:t>
            </w:r>
          </w:p>
        </w:tc>
      </w:tr>
      <w:tr w:rsidR="00DD2B32" w:rsidRPr="003B7B70" w:rsidTr="003B7B70">
        <w:tc>
          <w:tcPr>
            <w:cnfStyle w:val="001000000000" w:firstRow="0" w:lastRow="0" w:firstColumn="1" w:lastColumn="0" w:oddVBand="0" w:evenVBand="0" w:oddHBand="0" w:evenHBand="0" w:firstRowFirstColumn="0" w:firstRowLastColumn="0" w:lastRowFirstColumn="0" w:lastRowLastColumn="0"/>
            <w:tcW w:w="2376" w:type="dxa"/>
          </w:tcPr>
          <w:p w:rsidR="00DD2B32" w:rsidRPr="003B7B70" w:rsidRDefault="00F905EC" w:rsidP="00F905EC">
            <w:pPr>
              <w:jc w:val="both"/>
              <w:rPr>
                <w:rFonts w:asciiTheme="minorHAnsi" w:hAnsiTheme="minorHAnsi" w:cstheme="minorHAnsi"/>
              </w:rPr>
            </w:pPr>
            <w:r w:rsidRPr="003B7B70">
              <w:rPr>
                <w:rFonts w:asciiTheme="minorHAnsi" w:hAnsiTheme="minorHAnsi" w:cstheme="minorHAnsi"/>
              </w:rPr>
              <w:t>Negatywne zjawiska społeczne - u</w:t>
            </w:r>
            <w:r w:rsidR="00DD2B32" w:rsidRPr="003B7B70">
              <w:rPr>
                <w:rFonts w:asciiTheme="minorHAnsi" w:hAnsiTheme="minorHAnsi" w:cstheme="minorHAnsi"/>
              </w:rPr>
              <w:t>bóstwo</w:t>
            </w:r>
          </w:p>
        </w:tc>
        <w:tc>
          <w:tcPr>
            <w:tcW w:w="6836" w:type="dxa"/>
          </w:tcPr>
          <w:p w:rsidR="00DD2B32" w:rsidRPr="003B7B70" w:rsidRDefault="00DD2B32" w:rsidP="00DD2B32">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Liczba osób korzystających ze świadczeń pomocy społecznej w przeliczeniu na 100 osób wg miejsca zamieszkania – 15,19 ogółem, 15,69 mężczyźni, 14,69 kobiety</w:t>
            </w:r>
          </w:p>
          <w:p w:rsidR="00DD2B32" w:rsidRPr="003B7B70" w:rsidRDefault="00DD2B32" w:rsidP="00DD2B32">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(zgodnie z Instrukcją wskaźnik 8 kategorii Pomoc społeczna za 2014 rok przyjął następujące dane referencyjne: województwo 6,1, powiat przeworski - 12,25 ogółem)</w:t>
            </w:r>
          </w:p>
        </w:tc>
      </w:tr>
      <w:tr w:rsidR="00DD2B32" w:rsidRPr="003B7B70" w:rsidTr="003B7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D2B32" w:rsidRPr="003B7B70" w:rsidRDefault="00F905EC" w:rsidP="004526A8">
            <w:pPr>
              <w:jc w:val="both"/>
              <w:rPr>
                <w:rFonts w:asciiTheme="minorHAnsi" w:hAnsiTheme="minorHAnsi" w:cstheme="minorHAnsi"/>
              </w:rPr>
            </w:pPr>
            <w:r w:rsidRPr="003B7B70">
              <w:rPr>
                <w:rFonts w:asciiTheme="minorHAnsi" w:hAnsiTheme="minorHAnsi" w:cstheme="minorHAnsi"/>
              </w:rPr>
              <w:t xml:space="preserve">Negatywne zjawiska społeczne - </w:t>
            </w:r>
            <w:r w:rsidR="00DD2B32" w:rsidRPr="003B7B70">
              <w:rPr>
                <w:rFonts w:asciiTheme="minorHAnsi" w:hAnsiTheme="minorHAnsi" w:cstheme="minorHAnsi"/>
              </w:rPr>
              <w:t>Niekorzystne trendy demograficzne</w:t>
            </w:r>
          </w:p>
        </w:tc>
        <w:tc>
          <w:tcPr>
            <w:tcW w:w="6836" w:type="dxa"/>
          </w:tcPr>
          <w:p w:rsidR="00DD2B32" w:rsidRPr="003B7B70" w:rsidRDefault="00F905EC" w:rsidP="004526A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Mediana wieku – </w:t>
            </w:r>
            <w:r w:rsidRPr="003B7B70">
              <w:rPr>
                <w:rFonts w:asciiTheme="minorHAnsi" w:hAnsiTheme="minorHAnsi" w:cstheme="minorHAnsi"/>
                <w:b/>
              </w:rPr>
              <w:t>38,15 ogółem w tym 39,50 kobiety</w:t>
            </w:r>
          </w:p>
          <w:p w:rsidR="00F905EC" w:rsidRPr="003B7B70" w:rsidRDefault="00F905EC" w:rsidP="00F905E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3 kategorii Demografia za 2014 rok przyjął następujące dane referencyjne: województwo 38)</w:t>
            </w:r>
          </w:p>
          <w:p w:rsidR="00F905EC" w:rsidRPr="003B7B70" w:rsidRDefault="00F905EC" w:rsidP="00F905E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B7B70">
              <w:rPr>
                <w:rFonts w:asciiTheme="minorHAnsi" w:hAnsiTheme="minorHAnsi" w:cstheme="minorHAnsi"/>
              </w:rPr>
              <w:t>Przyrost naturalny:</w:t>
            </w:r>
            <w:r w:rsidRPr="003B7B70">
              <w:rPr>
                <w:rFonts w:asciiTheme="minorHAnsi" w:hAnsiTheme="minorHAnsi" w:cstheme="minorHAnsi"/>
                <w:b/>
              </w:rPr>
              <w:t xml:space="preserve"> -0,12 ogółem, w tym  -0,36 mężczyźni </w:t>
            </w:r>
          </w:p>
          <w:p w:rsidR="00F905EC" w:rsidRPr="003B7B70" w:rsidRDefault="00F905EC" w:rsidP="00F905E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4 kategorii Demografia za 2014 rok przyjął następujące dane referencyjne: województwo 0,07)</w:t>
            </w:r>
          </w:p>
          <w:p w:rsidR="00F905EC" w:rsidRPr="003B7B70" w:rsidRDefault="00F905EC" w:rsidP="00F905E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D2B32" w:rsidRPr="003B7B70" w:rsidTr="003B7B70">
        <w:tc>
          <w:tcPr>
            <w:cnfStyle w:val="001000000000" w:firstRow="0" w:lastRow="0" w:firstColumn="1" w:lastColumn="0" w:oddVBand="0" w:evenVBand="0" w:oddHBand="0" w:evenHBand="0" w:firstRowFirstColumn="0" w:firstRowLastColumn="0" w:lastRowFirstColumn="0" w:lastRowLastColumn="0"/>
            <w:tcW w:w="2376" w:type="dxa"/>
          </w:tcPr>
          <w:p w:rsidR="00DD2B32" w:rsidRPr="003B7B70" w:rsidRDefault="00F905EC" w:rsidP="004526A8">
            <w:pPr>
              <w:jc w:val="both"/>
              <w:rPr>
                <w:rFonts w:asciiTheme="minorHAnsi" w:hAnsiTheme="minorHAnsi" w:cstheme="minorHAnsi"/>
              </w:rPr>
            </w:pPr>
            <w:r w:rsidRPr="003B7B70">
              <w:rPr>
                <w:rFonts w:asciiTheme="minorHAnsi" w:hAnsiTheme="minorHAnsi" w:cstheme="minorHAnsi"/>
              </w:rPr>
              <w:t>Negatywne zjawiska gospodarcze</w:t>
            </w:r>
          </w:p>
        </w:tc>
        <w:tc>
          <w:tcPr>
            <w:tcW w:w="6836" w:type="dxa"/>
          </w:tcPr>
          <w:p w:rsidR="00EE2C5D" w:rsidRPr="003B7B70" w:rsidRDefault="00EE2C5D" w:rsidP="004526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zarejestrowanych podmiotów gospodarczych w rejestrze REGON w przeliczeniu na 100 osób wg faktycznego miejsca zamieszkania – ogółem </w:t>
            </w:r>
            <w:r w:rsidRPr="003B7B70">
              <w:rPr>
                <w:rFonts w:asciiTheme="minorHAnsi" w:hAnsiTheme="minorHAnsi" w:cstheme="minorHAnsi"/>
                <w:b/>
              </w:rPr>
              <w:t>– 3,7</w:t>
            </w:r>
          </w:p>
        </w:tc>
      </w:tr>
      <w:tr w:rsidR="00DD2B32" w:rsidRPr="003B7B70" w:rsidTr="003B7B70">
        <w:trPr>
          <w:cnfStyle w:val="000000100000" w:firstRow="0" w:lastRow="0" w:firstColumn="0" w:lastColumn="0" w:oddVBand="0" w:evenVBand="0" w:oddHBand="1" w:evenHBand="0" w:firstRowFirstColumn="0" w:firstRowLastColumn="0" w:lastRowFirstColumn="0" w:lastRowLastColumn="0"/>
          <w:trHeight w:val="2480"/>
        </w:trPr>
        <w:tc>
          <w:tcPr>
            <w:cnfStyle w:val="001000000000" w:firstRow="0" w:lastRow="0" w:firstColumn="1" w:lastColumn="0" w:oddVBand="0" w:evenVBand="0" w:oddHBand="0" w:evenHBand="0" w:firstRowFirstColumn="0" w:firstRowLastColumn="0" w:lastRowFirstColumn="0" w:lastRowLastColumn="0"/>
            <w:tcW w:w="2376" w:type="dxa"/>
          </w:tcPr>
          <w:p w:rsidR="00DD2B32" w:rsidRPr="003B7B70" w:rsidRDefault="00EE2C5D" w:rsidP="004526A8">
            <w:pPr>
              <w:jc w:val="both"/>
              <w:rPr>
                <w:rFonts w:asciiTheme="minorHAnsi" w:hAnsiTheme="minorHAnsi" w:cstheme="minorHAnsi"/>
              </w:rPr>
            </w:pPr>
            <w:r w:rsidRPr="003B7B70">
              <w:rPr>
                <w:rFonts w:asciiTheme="minorHAnsi" w:hAnsiTheme="minorHAnsi" w:cstheme="minorHAnsi"/>
              </w:rPr>
              <w:t>Negatywne zjawiska przestrzenno-funkcjonalne</w:t>
            </w:r>
          </w:p>
        </w:tc>
        <w:tc>
          <w:tcPr>
            <w:tcW w:w="6836" w:type="dxa"/>
          </w:tcPr>
          <w:p w:rsidR="00DD2B32" w:rsidRPr="003B7B70" w:rsidRDefault="00EE2C5D" w:rsidP="004526A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niewystarczającej infrastruktury społecznej (zwłaszcza z myślą o seniorach, osobach niepełnosprawnych i  przewlekle chorych – na terenie Gminy nie ma Domów Pomocy Społecznej, Warsztatów Terapii Zajęciowej, Świetlic Socjoterapeutycznych, mieszkań chronionych lub wytchnieniach.</w:t>
            </w:r>
          </w:p>
          <w:p w:rsidR="00EE2C5D" w:rsidRDefault="00EE2C5D" w:rsidP="004526A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Gmina dysponuje ciekawymi obszarami  - koryta i brzegi rzek, zbiorniki wodne, ścieżki  - do wykorzystania w celach rekreacyjnych, turystycznych i integrujących społeczność lokalną</w:t>
            </w:r>
          </w:p>
          <w:p w:rsidR="003D76A3" w:rsidRPr="003B7B70" w:rsidRDefault="003D76A3" w:rsidP="004526A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EE2C5D" w:rsidRPr="003B7B70" w:rsidRDefault="003D76A3" w:rsidP="004526A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(zgodnie z Instrukcją wskaźnik 11 kategorii Podmioty gospodarcze  za 2014 rok przyjął następujące dane referencyjne: województwo 7,6</w:t>
            </w:r>
          </w:p>
        </w:tc>
      </w:tr>
      <w:tr w:rsidR="003D76A3" w:rsidRPr="003B7B70" w:rsidTr="003D76A3">
        <w:trPr>
          <w:trHeight w:val="1021"/>
        </w:trPr>
        <w:tc>
          <w:tcPr>
            <w:cnfStyle w:val="001000000000" w:firstRow="0" w:lastRow="0" w:firstColumn="1" w:lastColumn="0" w:oddVBand="0" w:evenVBand="0" w:oddHBand="0" w:evenHBand="0" w:firstRowFirstColumn="0" w:firstRowLastColumn="0" w:lastRowFirstColumn="0" w:lastRowLastColumn="0"/>
            <w:tcW w:w="2376" w:type="dxa"/>
          </w:tcPr>
          <w:p w:rsidR="003D76A3" w:rsidRPr="003B7B70" w:rsidRDefault="003D76A3" w:rsidP="004526A8">
            <w:pPr>
              <w:jc w:val="both"/>
              <w:rPr>
                <w:rFonts w:cstheme="minorHAnsi"/>
              </w:rPr>
            </w:pPr>
            <w:r>
              <w:rPr>
                <w:rFonts w:cstheme="minorHAnsi"/>
              </w:rPr>
              <w:t>Negatywne zjawiska środowiskowe</w:t>
            </w:r>
          </w:p>
        </w:tc>
        <w:tc>
          <w:tcPr>
            <w:tcW w:w="6836" w:type="dxa"/>
          </w:tcPr>
          <w:p w:rsidR="003D76A3" w:rsidRDefault="003D76A3" w:rsidP="003D7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Wysoki udział CO2 pochodzącego ze spalania w paleniskach domowych – więcej opisano w Planie Gospodarki Niskoemisyjnej Gminy Tryńcza.</w:t>
            </w:r>
          </w:p>
          <w:p w:rsidR="003D76A3" w:rsidRPr="003D76A3" w:rsidRDefault="003D76A3" w:rsidP="003D7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D76A3">
              <w:rPr>
                <w:rFonts w:asciiTheme="minorHAnsi" w:hAnsiTheme="minorHAnsi" w:cstheme="minorHAnsi"/>
              </w:rPr>
              <w:t>Odsetek ludności korzystającej z sieci gazowej</w:t>
            </w:r>
            <w:r>
              <w:rPr>
                <w:rFonts w:asciiTheme="minorHAnsi" w:hAnsiTheme="minorHAnsi" w:cstheme="minorHAnsi"/>
              </w:rPr>
              <w:t xml:space="preserve"> – ogółem 50,92% za 2014 rok</w:t>
            </w:r>
          </w:p>
          <w:p w:rsidR="003D76A3" w:rsidRPr="003B7B70" w:rsidRDefault="003D76A3" w:rsidP="003D76A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B7B70">
              <w:rPr>
                <w:rFonts w:asciiTheme="minorHAnsi" w:hAnsiTheme="minorHAnsi" w:cstheme="minorHAnsi"/>
                <w:i/>
              </w:rPr>
              <w:t xml:space="preserve">(zgodnie z Instrukcją wskaźnik </w:t>
            </w:r>
            <w:r w:rsidRPr="003D76A3">
              <w:rPr>
                <w:rFonts w:asciiTheme="minorHAnsi" w:hAnsiTheme="minorHAnsi" w:cstheme="minorHAnsi"/>
                <w:i/>
              </w:rPr>
              <w:t xml:space="preserve">21. Odsetek ludności korzystającej z sieci gazowej, </w:t>
            </w:r>
            <w:r>
              <w:rPr>
                <w:rFonts w:asciiTheme="minorHAnsi" w:hAnsiTheme="minorHAnsi" w:cstheme="minorHAnsi"/>
                <w:i/>
              </w:rPr>
              <w:t xml:space="preserve">w ramach </w:t>
            </w:r>
            <w:r w:rsidRPr="003B7B70">
              <w:rPr>
                <w:rFonts w:asciiTheme="minorHAnsi" w:hAnsiTheme="minorHAnsi" w:cstheme="minorHAnsi"/>
                <w:i/>
              </w:rPr>
              <w:t xml:space="preserve"> kategorii </w:t>
            </w:r>
            <w:r>
              <w:rPr>
                <w:rFonts w:asciiTheme="minorHAnsi" w:hAnsiTheme="minorHAnsi" w:cstheme="minorHAnsi"/>
                <w:i/>
              </w:rPr>
              <w:t>Ochrona Środowiska</w:t>
            </w:r>
            <w:r>
              <w:t xml:space="preserve"> </w:t>
            </w:r>
            <w:r>
              <w:rPr>
                <w:rFonts w:asciiTheme="minorHAnsi" w:hAnsiTheme="minorHAnsi" w:cstheme="minorHAnsi"/>
                <w:i/>
              </w:rPr>
              <w:t>przyjęto</w:t>
            </w:r>
            <w:r w:rsidRPr="003B7B70">
              <w:rPr>
                <w:rFonts w:asciiTheme="minorHAnsi" w:hAnsiTheme="minorHAnsi" w:cstheme="minorHAnsi"/>
                <w:i/>
              </w:rPr>
              <w:t xml:space="preserve"> następujące da</w:t>
            </w:r>
            <w:r>
              <w:rPr>
                <w:rFonts w:asciiTheme="minorHAnsi" w:hAnsiTheme="minorHAnsi" w:cstheme="minorHAnsi"/>
                <w:i/>
              </w:rPr>
              <w:t xml:space="preserve">ne referencyjne: województwa </w:t>
            </w:r>
            <w:r w:rsidRPr="003D76A3">
              <w:rPr>
                <w:rFonts w:asciiTheme="minorHAnsi" w:hAnsiTheme="minorHAnsi" w:cstheme="minorHAnsi"/>
                <w:i/>
              </w:rPr>
              <w:t>72,5% wszystkich gospodarstw</w:t>
            </w:r>
          </w:p>
        </w:tc>
      </w:tr>
      <w:tr w:rsidR="00DD2B32" w:rsidRPr="003B7B70" w:rsidTr="003B7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D2B32" w:rsidRPr="003B7B70" w:rsidRDefault="00EE2C5D" w:rsidP="00EE2C5D">
            <w:pPr>
              <w:jc w:val="both"/>
              <w:rPr>
                <w:rFonts w:asciiTheme="minorHAnsi" w:hAnsiTheme="minorHAnsi" w:cstheme="minorHAnsi"/>
              </w:rPr>
            </w:pPr>
            <w:r w:rsidRPr="003B7B70">
              <w:rPr>
                <w:rFonts w:asciiTheme="minorHAnsi" w:hAnsiTheme="minorHAnsi" w:cstheme="minorHAnsi"/>
              </w:rPr>
              <w:t>Niewystarczający udział partycypacji społecznej – niskie zaangażowanie mieszkańców w sprawy gminne</w:t>
            </w:r>
          </w:p>
        </w:tc>
        <w:tc>
          <w:tcPr>
            <w:tcW w:w="6836" w:type="dxa"/>
          </w:tcPr>
          <w:p w:rsidR="00DD2B32" w:rsidRPr="003B7B70" w:rsidRDefault="00D67FEC" w:rsidP="004526A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organizacji pozarządowych na 100 osób wg miejsca zamieszkania – </w:t>
            </w:r>
            <w:r w:rsidRPr="003B7B70">
              <w:rPr>
                <w:rFonts w:asciiTheme="minorHAnsi" w:hAnsiTheme="minorHAnsi" w:cstheme="minorHAnsi"/>
                <w:b/>
              </w:rPr>
              <w:t>0,318</w:t>
            </w:r>
          </w:p>
          <w:p w:rsidR="00D67FEC" w:rsidRPr="003B7B70" w:rsidRDefault="00D67FEC" w:rsidP="00D67FE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19 kategorii Integracja Społeczna  za 2013 rok przyjął następujące dane referencyjne: województwo 0,33)</w:t>
            </w:r>
          </w:p>
          <w:p w:rsidR="00D67FEC" w:rsidRPr="003B7B70" w:rsidRDefault="00D67FEC" w:rsidP="004526A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rsidR="00D711AD" w:rsidRDefault="00D67FEC" w:rsidP="00D67FEC">
      <w:pPr>
        <w:pStyle w:val="Legenda"/>
        <w:jc w:val="both"/>
      </w:pPr>
      <w:r>
        <w:t xml:space="preserve">Źródło: Opracowanie własne – dane dla obszaru rewitalizacji wyliczono jako średnią dla poszczególnych miejscowości – przyjmując założenie, że zdelimiotwane fragmenty obszarów danych miejscowości wyznaczone jako podobszary rewitalizacji charakteryzują przynajmniej tak złe wskaźniki jak średnia dla całej miejscowości. </w:t>
      </w:r>
    </w:p>
    <w:p w:rsidR="008F0497" w:rsidRDefault="008F0497" w:rsidP="008F0497">
      <w:pPr>
        <w:jc w:val="both"/>
      </w:pPr>
    </w:p>
    <w:p w:rsidR="003B7B70" w:rsidRDefault="00D67FEC" w:rsidP="003B7B70">
      <w:pPr>
        <w:ind w:firstLine="708"/>
        <w:jc w:val="both"/>
        <w:rPr>
          <w:sz w:val="23"/>
          <w:szCs w:val="23"/>
        </w:rPr>
      </w:pPr>
      <w:r>
        <w:lastRenderedPageBreak/>
        <w:t>Zgodnie z artykułem 10 ust. 2 Ustawy o rewitalizacji „</w:t>
      </w:r>
      <w:r>
        <w:rPr>
          <w:sz w:val="23"/>
          <w:szCs w:val="23"/>
        </w:rPr>
        <w:t>Obszar zdegradowany może być podzielony na podobszary, w tym podobszary nieposiadające ze sobą wspólnych granic, pod warunkiem stwierdzenia na każdym z podobszarów występowania koncentracji negatywnych zjawisk społecznych oraz gospodarczych, środowiskowych, przestrzenno-funkcjonalnych lub technic</w:t>
      </w:r>
      <w:r w:rsidR="003B7B70">
        <w:rPr>
          <w:sz w:val="23"/>
          <w:szCs w:val="23"/>
        </w:rPr>
        <w:t>znych, o których mowa w ust. 1.” Poniżej przedstawiono opis poszczególnych podobszarów rewitalizacji na terenie Gminy Tryńcza.</w:t>
      </w:r>
    </w:p>
    <w:p w:rsidR="003B7B70" w:rsidRDefault="003B7B70" w:rsidP="003B7B70">
      <w:pPr>
        <w:pStyle w:val="Nagwek2"/>
      </w:pPr>
      <w:bookmarkStart w:id="116" w:name="_Toc496558092"/>
      <w:r>
        <w:t>Podobszar Głogowiec</w:t>
      </w:r>
      <w:bookmarkEnd w:id="116"/>
    </w:p>
    <w:p w:rsidR="003B7B70" w:rsidRDefault="003B7B70" w:rsidP="003B7B70">
      <w:pPr>
        <w:jc w:val="both"/>
      </w:pPr>
      <w:r>
        <w:t xml:space="preserve">Obszar spełnia wymagania art. 9 ust. 1 o rewitalizacji i minimum cztery kryteria </w:t>
      </w:r>
      <w:r w:rsidR="00526CAB">
        <w:t xml:space="preserve">Instrukcji </w:t>
      </w:r>
      <w:r w:rsidR="00526CAB" w:rsidRPr="007C3562">
        <w:rPr>
          <w:i/>
        </w:rPr>
        <w:t>przygotowania programów rewitalizacji w zakresie wsparcia w</w:t>
      </w:r>
      <w:r w:rsidR="00526CAB">
        <w:rPr>
          <w:i/>
        </w:rPr>
        <w:t> </w:t>
      </w:r>
      <w:r w:rsidR="00526CAB" w:rsidRPr="007C3562">
        <w:rPr>
          <w:i/>
        </w:rPr>
        <w:t>ramach Regionalnego Programu Operacyjnego Województwa Podkarpackiego na lata 2014-2020</w:t>
      </w:r>
    </w:p>
    <w:tbl>
      <w:tblPr>
        <w:tblStyle w:val="Tabelasiatki5ciemnaakcent32"/>
        <w:tblW w:w="0" w:type="auto"/>
        <w:tblLook w:val="04A0" w:firstRow="1" w:lastRow="0" w:firstColumn="1" w:lastColumn="0" w:noHBand="0" w:noVBand="1"/>
      </w:tblPr>
      <w:tblGrid>
        <w:gridCol w:w="2376"/>
        <w:gridCol w:w="6836"/>
      </w:tblGrid>
      <w:tr w:rsidR="003B7B70" w:rsidRPr="003B7B70" w:rsidTr="003B7B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B7B70" w:rsidRPr="003B7B70" w:rsidRDefault="003B7B70" w:rsidP="003B7B70">
            <w:pPr>
              <w:jc w:val="both"/>
              <w:rPr>
                <w:rFonts w:asciiTheme="minorHAnsi" w:hAnsiTheme="minorHAnsi" w:cstheme="minorHAnsi"/>
              </w:rPr>
            </w:pPr>
            <w:r w:rsidRPr="003B7B70">
              <w:rPr>
                <w:rFonts w:asciiTheme="minorHAnsi" w:hAnsiTheme="minorHAnsi" w:cstheme="minorHAnsi"/>
              </w:rPr>
              <w:t>Kryterium delimitacji</w:t>
            </w:r>
          </w:p>
        </w:tc>
        <w:tc>
          <w:tcPr>
            <w:tcW w:w="6836" w:type="dxa"/>
          </w:tcPr>
          <w:p w:rsidR="003B7B70" w:rsidRPr="003B7B70" w:rsidRDefault="003B7B70" w:rsidP="003B7B70">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Nazwa wskaźnika i jego wartość</w:t>
            </w:r>
          </w:p>
        </w:tc>
      </w:tr>
      <w:tr w:rsidR="003B7B70" w:rsidRPr="003B7B70" w:rsidTr="003B7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B7B70" w:rsidRPr="003B7B70" w:rsidRDefault="003B7B70" w:rsidP="003B7B70">
            <w:pPr>
              <w:jc w:val="both"/>
              <w:rPr>
                <w:rFonts w:asciiTheme="minorHAnsi" w:hAnsiTheme="minorHAnsi" w:cstheme="minorHAnsi"/>
              </w:rPr>
            </w:pPr>
            <w:r w:rsidRPr="003B7B70">
              <w:rPr>
                <w:rFonts w:asciiTheme="minorHAnsi" w:hAnsiTheme="minorHAnsi" w:cstheme="minorHAnsi"/>
              </w:rPr>
              <w:t>Powierzchnia obszaru</w:t>
            </w:r>
          </w:p>
        </w:tc>
        <w:tc>
          <w:tcPr>
            <w:tcW w:w="6836" w:type="dxa"/>
          </w:tcPr>
          <w:p w:rsidR="003B7B70" w:rsidRPr="003B7B70" w:rsidRDefault="003B7B70" w:rsidP="003B7B7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29,4 ha</w:t>
            </w:r>
          </w:p>
        </w:tc>
      </w:tr>
      <w:tr w:rsidR="003B7B70" w:rsidRPr="003B7B70" w:rsidTr="003B7B70">
        <w:tc>
          <w:tcPr>
            <w:cnfStyle w:val="001000000000" w:firstRow="0" w:lastRow="0" w:firstColumn="1" w:lastColumn="0" w:oddVBand="0" w:evenVBand="0" w:oddHBand="0" w:evenHBand="0" w:firstRowFirstColumn="0" w:firstRowLastColumn="0" w:lastRowFirstColumn="0" w:lastRowLastColumn="0"/>
            <w:tcW w:w="2376" w:type="dxa"/>
          </w:tcPr>
          <w:p w:rsidR="003B7B70" w:rsidRPr="003B7B70" w:rsidRDefault="003B7B70" w:rsidP="003B7B70">
            <w:pPr>
              <w:jc w:val="both"/>
              <w:rPr>
                <w:rFonts w:asciiTheme="minorHAnsi" w:hAnsiTheme="minorHAnsi" w:cstheme="minorHAnsi"/>
              </w:rPr>
            </w:pPr>
            <w:r w:rsidRPr="003B7B70">
              <w:rPr>
                <w:rFonts w:asciiTheme="minorHAnsi" w:hAnsiTheme="minorHAnsi" w:cstheme="minorHAnsi"/>
              </w:rPr>
              <w:t>Mieszkańcy obszaru</w:t>
            </w:r>
          </w:p>
        </w:tc>
        <w:tc>
          <w:tcPr>
            <w:tcW w:w="6836" w:type="dxa"/>
          </w:tcPr>
          <w:p w:rsidR="003B7B70" w:rsidRPr="003B7B70" w:rsidRDefault="003B7B70" w:rsidP="003B7B7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114 osób</w:t>
            </w:r>
          </w:p>
        </w:tc>
      </w:tr>
      <w:tr w:rsidR="003B7B70" w:rsidRPr="003B7B70" w:rsidTr="003B7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B7B70" w:rsidRPr="003B7B70" w:rsidRDefault="003B7B70" w:rsidP="003B7B70">
            <w:pPr>
              <w:jc w:val="both"/>
              <w:rPr>
                <w:rFonts w:asciiTheme="minorHAnsi" w:hAnsiTheme="minorHAnsi" w:cstheme="minorHAnsi"/>
              </w:rPr>
            </w:pPr>
            <w:r w:rsidRPr="003B7B70">
              <w:rPr>
                <w:rFonts w:asciiTheme="minorHAnsi" w:hAnsiTheme="minorHAnsi" w:cstheme="minorHAnsi"/>
              </w:rPr>
              <w:t>Negatywne zjawiska społeczne - bezrobocie</w:t>
            </w:r>
          </w:p>
        </w:tc>
        <w:tc>
          <w:tcPr>
            <w:tcW w:w="6836" w:type="dxa"/>
          </w:tcPr>
          <w:p w:rsidR="003B7B70" w:rsidRPr="003B7B70" w:rsidRDefault="003B7B70" w:rsidP="003B7B70">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Udział bezrobotnych zarejestrowanych w liczbie ludności w wieku produkcyjnym wg miejsca zamieszkania – </w:t>
            </w:r>
            <w:r>
              <w:rPr>
                <w:rFonts w:asciiTheme="minorHAnsi" w:hAnsiTheme="minorHAnsi" w:cstheme="minorHAnsi"/>
                <w:b/>
              </w:rPr>
              <w:t>12,43</w:t>
            </w:r>
            <w:r w:rsidRPr="003B7B70">
              <w:rPr>
                <w:rFonts w:asciiTheme="minorHAnsi" w:hAnsiTheme="minorHAnsi" w:cstheme="minorHAnsi"/>
                <w:b/>
              </w:rPr>
              <w:t xml:space="preserve">% ogółem, </w:t>
            </w:r>
            <w:r>
              <w:rPr>
                <w:rFonts w:asciiTheme="minorHAnsi" w:hAnsiTheme="minorHAnsi" w:cstheme="minorHAnsi"/>
                <w:b/>
              </w:rPr>
              <w:t>10,83</w:t>
            </w:r>
            <w:r w:rsidRPr="003B7B70">
              <w:rPr>
                <w:rFonts w:asciiTheme="minorHAnsi" w:hAnsiTheme="minorHAnsi" w:cstheme="minorHAnsi"/>
                <w:b/>
              </w:rPr>
              <w:t xml:space="preserve">% mężczyźni, </w:t>
            </w:r>
            <w:r>
              <w:rPr>
                <w:rFonts w:asciiTheme="minorHAnsi" w:hAnsiTheme="minorHAnsi" w:cstheme="minorHAnsi"/>
                <w:b/>
              </w:rPr>
              <w:t>14,37</w:t>
            </w:r>
            <w:r w:rsidRPr="003B7B70">
              <w:rPr>
                <w:rFonts w:asciiTheme="minorHAnsi" w:hAnsiTheme="minorHAnsi" w:cstheme="minorHAnsi"/>
                <w:b/>
              </w:rPr>
              <w:t>% kobiety</w:t>
            </w:r>
          </w:p>
          <w:p w:rsidR="003B7B70" w:rsidRPr="003B7B70" w:rsidRDefault="003B7B70" w:rsidP="003B7B70">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(zgodnie z Instrukcją wskaźnik 6 kategorii Rynek pracy za 2014 rok przyjął następujące dane referencyjne: województwo – 10,20% bezrobotnych ogółem, powiat przeworski – 11,39% bezrobotnych ogółem</w:t>
            </w:r>
            <w:r w:rsidRPr="003B7B70">
              <w:rPr>
                <w:rFonts w:asciiTheme="minorHAnsi" w:hAnsiTheme="minorHAnsi" w:cstheme="minorHAnsi"/>
              </w:rPr>
              <w:t>)</w:t>
            </w:r>
          </w:p>
        </w:tc>
      </w:tr>
      <w:tr w:rsidR="003B7B70" w:rsidRPr="003B7B70" w:rsidTr="003B7B70">
        <w:tc>
          <w:tcPr>
            <w:cnfStyle w:val="001000000000" w:firstRow="0" w:lastRow="0" w:firstColumn="1" w:lastColumn="0" w:oddVBand="0" w:evenVBand="0" w:oddHBand="0" w:evenHBand="0" w:firstRowFirstColumn="0" w:firstRowLastColumn="0" w:lastRowFirstColumn="0" w:lastRowLastColumn="0"/>
            <w:tcW w:w="2376" w:type="dxa"/>
          </w:tcPr>
          <w:p w:rsidR="003B7B70" w:rsidRPr="003B7B70" w:rsidRDefault="003B7B70" w:rsidP="003B7B70">
            <w:pPr>
              <w:jc w:val="both"/>
              <w:rPr>
                <w:rFonts w:asciiTheme="minorHAnsi" w:hAnsiTheme="minorHAnsi" w:cstheme="minorHAnsi"/>
              </w:rPr>
            </w:pPr>
            <w:r w:rsidRPr="003B7B70">
              <w:rPr>
                <w:rFonts w:asciiTheme="minorHAnsi" w:hAnsiTheme="minorHAnsi" w:cstheme="minorHAnsi"/>
              </w:rPr>
              <w:t>Negatywne zjawiska społeczne - ubóstwo</w:t>
            </w:r>
          </w:p>
        </w:tc>
        <w:tc>
          <w:tcPr>
            <w:tcW w:w="6836" w:type="dxa"/>
          </w:tcPr>
          <w:p w:rsidR="003B7B70" w:rsidRPr="003B7B70" w:rsidRDefault="003B7B70" w:rsidP="003B7B70">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osób korzystających ze świadczeń pomocy społecznej w przeliczeniu na 100 osób wg miejsca zamieszkania – </w:t>
            </w:r>
            <w:r>
              <w:rPr>
                <w:rFonts w:asciiTheme="minorHAnsi" w:hAnsiTheme="minorHAnsi" w:cstheme="minorHAnsi"/>
              </w:rPr>
              <w:t>13,56</w:t>
            </w:r>
            <w:r w:rsidRPr="003B7B70">
              <w:rPr>
                <w:rFonts w:asciiTheme="minorHAnsi" w:hAnsiTheme="minorHAnsi" w:cstheme="minorHAnsi"/>
              </w:rPr>
              <w:t xml:space="preserve"> ogółem, </w:t>
            </w:r>
            <w:r>
              <w:rPr>
                <w:rFonts w:asciiTheme="minorHAnsi" w:hAnsiTheme="minorHAnsi" w:cstheme="minorHAnsi"/>
              </w:rPr>
              <w:t>14,88</w:t>
            </w:r>
            <w:r w:rsidRPr="003B7B70">
              <w:rPr>
                <w:rFonts w:asciiTheme="minorHAnsi" w:hAnsiTheme="minorHAnsi" w:cstheme="minorHAnsi"/>
              </w:rPr>
              <w:t xml:space="preserve"> mężczyźni, </w:t>
            </w:r>
            <w:r>
              <w:rPr>
                <w:rFonts w:asciiTheme="minorHAnsi" w:hAnsiTheme="minorHAnsi" w:cstheme="minorHAnsi"/>
              </w:rPr>
              <w:t>12,24</w:t>
            </w:r>
            <w:r w:rsidRPr="003B7B70">
              <w:rPr>
                <w:rFonts w:asciiTheme="minorHAnsi" w:hAnsiTheme="minorHAnsi" w:cstheme="minorHAnsi"/>
              </w:rPr>
              <w:t xml:space="preserve"> kobiety</w:t>
            </w:r>
          </w:p>
          <w:p w:rsidR="003B7B70" w:rsidRPr="003B7B70" w:rsidRDefault="003B7B70" w:rsidP="003B7B70">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(zgodnie z Instrukcją wskaźnik 8 kategorii Pomoc społeczna za 2014 rok przyjął następujące dane referencyjne: województwo 6,1, powiat przeworski - 12,25 ogółem)</w:t>
            </w:r>
          </w:p>
        </w:tc>
      </w:tr>
      <w:tr w:rsidR="003B7B70" w:rsidRPr="003B7B70" w:rsidTr="003B7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B7B70" w:rsidRPr="003B7B70" w:rsidRDefault="003B7B70" w:rsidP="003B7B70">
            <w:pPr>
              <w:jc w:val="both"/>
              <w:rPr>
                <w:rFonts w:asciiTheme="minorHAnsi" w:hAnsiTheme="minorHAnsi" w:cstheme="minorHAnsi"/>
              </w:rPr>
            </w:pPr>
            <w:r w:rsidRPr="003B7B70">
              <w:rPr>
                <w:rFonts w:asciiTheme="minorHAnsi" w:hAnsiTheme="minorHAnsi" w:cstheme="minorHAnsi"/>
              </w:rPr>
              <w:t>Negatywne zjawiska społeczne - Niekorzystne trendy demograficzne</w:t>
            </w:r>
          </w:p>
        </w:tc>
        <w:tc>
          <w:tcPr>
            <w:tcW w:w="6836" w:type="dxa"/>
          </w:tcPr>
          <w:p w:rsidR="003B7B70" w:rsidRPr="003B7B70" w:rsidRDefault="003B7B70" w:rsidP="003B7B7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Mediana wieku – </w:t>
            </w:r>
            <w:r>
              <w:rPr>
                <w:rFonts w:asciiTheme="minorHAnsi" w:hAnsiTheme="minorHAnsi" w:cstheme="minorHAnsi"/>
                <w:b/>
              </w:rPr>
              <w:t>41,28</w:t>
            </w:r>
            <w:r w:rsidRPr="003B7B70">
              <w:rPr>
                <w:rFonts w:asciiTheme="minorHAnsi" w:hAnsiTheme="minorHAnsi" w:cstheme="minorHAnsi"/>
                <w:b/>
              </w:rPr>
              <w:t xml:space="preserve"> ogółem w tym </w:t>
            </w:r>
            <w:r>
              <w:rPr>
                <w:rFonts w:asciiTheme="minorHAnsi" w:hAnsiTheme="minorHAnsi" w:cstheme="minorHAnsi"/>
                <w:b/>
              </w:rPr>
              <w:t>45,26</w:t>
            </w:r>
            <w:r w:rsidRPr="003B7B70">
              <w:rPr>
                <w:rFonts w:asciiTheme="minorHAnsi" w:hAnsiTheme="minorHAnsi" w:cstheme="minorHAnsi"/>
                <w:b/>
              </w:rPr>
              <w:t xml:space="preserve"> kobiety</w:t>
            </w:r>
          </w:p>
          <w:p w:rsidR="003B7B70" w:rsidRPr="003B7B70" w:rsidRDefault="003B7B70" w:rsidP="003B7B7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3 kategorii Demografia za 2014 rok przyjął następujące dane referencyjne: województwo 38)</w:t>
            </w:r>
          </w:p>
          <w:p w:rsidR="003B7B70" w:rsidRPr="003B7B70" w:rsidRDefault="003B7B70" w:rsidP="003B7B7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B7B70">
              <w:rPr>
                <w:rFonts w:asciiTheme="minorHAnsi" w:hAnsiTheme="minorHAnsi" w:cstheme="minorHAnsi"/>
              </w:rPr>
              <w:t>Przyrost naturalny:</w:t>
            </w:r>
            <w:r w:rsidRPr="003B7B70">
              <w:rPr>
                <w:rFonts w:asciiTheme="minorHAnsi" w:hAnsiTheme="minorHAnsi" w:cstheme="minorHAnsi"/>
                <w:b/>
              </w:rPr>
              <w:t xml:space="preserve"> -</w:t>
            </w:r>
            <w:r>
              <w:rPr>
                <w:rFonts w:asciiTheme="minorHAnsi" w:hAnsiTheme="minorHAnsi" w:cstheme="minorHAnsi"/>
                <w:b/>
              </w:rPr>
              <w:t>1,65</w:t>
            </w:r>
            <w:r w:rsidRPr="003B7B70">
              <w:rPr>
                <w:rFonts w:asciiTheme="minorHAnsi" w:hAnsiTheme="minorHAnsi" w:cstheme="minorHAnsi"/>
                <w:b/>
              </w:rPr>
              <w:t xml:space="preserve"> ogółem, w tym  -</w:t>
            </w:r>
            <w:r>
              <w:rPr>
                <w:rFonts w:asciiTheme="minorHAnsi" w:hAnsiTheme="minorHAnsi" w:cstheme="minorHAnsi"/>
                <w:b/>
              </w:rPr>
              <w:t>1,92</w:t>
            </w:r>
            <w:r w:rsidRPr="003B7B70">
              <w:rPr>
                <w:rFonts w:asciiTheme="minorHAnsi" w:hAnsiTheme="minorHAnsi" w:cstheme="minorHAnsi"/>
                <w:b/>
              </w:rPr>
              <w:t xml:space="preserve"> mężczyźni </w:t>
            </w:r>
            <w:r>
              <w:rPr>
                <w:rFonts w:asciiTheme="minorHAnsi" w:hAnsiTheme="minorHAnsi" w:cstheme="minorHAnsi"/>
                <w:b/>
              </w:rPr>
              <w:t>i -1,38 kobiety</w:t>
            </w:r>
          </w:p>
          <w:p w:rsidR="003B7B70" w:rsidRPr="003B7B70" w:rsidRDefault="003B7B70" w:rsidP="003B7B7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4 kategorii Demografia za 2014 rok przyjął następujące dane referencyjne: województwo 0,07)</w:t>
            </w:r>
          </w:p>
          <w:p w:rsidR="003B7B70" w:rsidRPr="003B7B70" w:rsidRDefault="003B7B70" w:rsidP="003B7B7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3B7B70" w:rsidRPr="003B7B70" w:rsidTr="003B7B70">
        <w:tc>
          <w:tcPr>
            <w:cnfStyle w:val="001000000000" w:firstRow="0" w:lastRow="0" w:firstColumn="1" w:lastColumn="0" w:oddVBand="0" w:evenVBand="0" w:oddHBand="0" w:evenHBand="0" w:firstRowFirstColumn="0" w:firstRowLastColumn="0" w:lastRowFirstColumn="0" w:lastRowLastColumn="0"/>
            <w:tcW w:w="2376" w:type="dxa"/>
          </w:tcPr>
          <w:p w:rsidR="003B7B70" w:rsidRPr="003B7B70" w:rsidRDefault="003B7B70" w:rsidP="003B7B70">
            <w:pPr>
              <w:jc w:val="both"/>
              <w:rPr>
                <w:rFonts w:asciiTheme="minorHAnsi" w:hAnsiTheme="minorHAnsi" w:cstheme="minorHAnsi"/>
              </w:rPr>
            </w:pPr>
            <w:r w:rsidRPr="003B7B70">
              <w:rPr>
                <w:rFonts w:asciiTheme="minorHAnsi" w:hAnsiTheme="minorHAnsi" w:cstheme="minorHAnsi"/>
              </w:rPr>
              <w:t>Negatywne zjawiska gospodarcze</w:t>
            </w:r>
          </w:p>
        </w:tc>
        <w:tc>
          <w:tcPr>
            <w:tcW w:w="6836" w:type="dxa"/>
          </w:tcPr>
          <w:p w:rsidR="003B7B70" w:rsidRPr="003B7B70" w:rsidRDefault="003B7B70" w:rsidP="003B7B7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zarejestrowanych podmiotów gospodarczych w rejestrze REGON w przeliczeniu na 100 osób wg faktycznego miejsca zamieszkania – ogółem </w:t>
            </w:r>
            <w:r w:rsidRPr="003B7B70">
              <w:rPr>
                <w:rFonts w:asciiTheme="minorHAnsi" w:hAnsiTheme="minorHAnsi" w:cstheme="minorHAnsi"/>
                <w:b/>
              </w:rPr>
              <w:t xml:space="preserve">– </w:t>
            </w:r>
            <w:r>
              <w:rPr>
                <w:rFonts w:asciiTheme="minorHAnsi" w:hAnsiTheme="minorHAnsi" w:cstheme="minorHAnsi"/>
                <w:b/>
              </w:rPr>
              <w:t>5,46</w:t>
            </w:r>
          </w:p>
          <w:p w:rsidR="003B7B70" w:rsidRPr="003D76A3" w:rsidRDefault="003B7B70" w:rsidP="003D7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11 kategorii Podmioty gospodarcze  za 2014 rok przyjął następujące dane referencyjne: województwo 7,6)</w:t>
            </w:r>
          </w:p>
        </w:tc>
      </w:tr>
      <w:tr w:rsidR="003B7B70" w:rsidRPr="003B7B70" w:rsidTr="00985B15">
        <w:trPr>
          <w:cnfStyle w:val="000000100000" w:firstRow="0" w:lastRow="0" w:firstColumn="0" w:lastColumn="0" w:oddVBand="0" w:evenVBand="0" w:oddHBand="1" w:evenHBand="0" w:firstRowFirstColumn="0" w:firstRowLastColumn="0" w:lastRowFirstColumn="0" w:lastRowLastColumn="0"/>
          <w:trHeight w:val="1806"/>
        </w:trPr>
        <w:tc>
          <w:tcPr>
            <w:cnfStyle w:val="001000000000" w:firstRow="0" w:lastRow="0" w:firstColumn="1" w:lastColumn="0" w:oddVBand="0" w:evenVBand="0" w:oddHBand="0" w:evenHBand="0" w:firstRowFirstColumn="0" w:firstRowLastColumn="0" w:lastRowFirstColumn="0" w:lastRowLastColumn="0"/>
            <w:tcW w:w="2376" w:type="dxa"/>
          </w:tcPr>
          <w:p w:rsidR="003B7B70" w:rsidRPr="003B7B70" w:rsidRDefault="003B7B70" w:rsidP="003B7B70">
            <w:pPr>
              <w:jc w:val="both"/>
              <w:rPr>
                <w:rFonts w:asciiTheme="minorHAnsi" w:hAnsiTheme="minorHAnsi" w:cstheme="minorHAnsi"/>
              </w:rPr>
            </w:pPr>
            <w:r w:rsidRPr="003B7B70">
              <w:rPr>
                <w:rFonts w:asciiTheme="minorHAnsi" w:hAnsiTheme="minorHAnsi" w:cstheme="minorHAnsi"/>
              </w:rPr>
              <w:t>Negatywne zjawiska przestrzenno-funkcjonalne</w:t>
            </w:r>
          </w:p>
        </w:tc>
        <w:tc>
          <w:tcPr>
            <w:tcW w:w="6836" w:type="dxa"/>
          </w:tcPr>
          <w:p w:rsidR="003B7B70" w:rsidRPr="003B7B70" w:rsidRDefault="003B7B70" w:rsidP="003B7B7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niewystarczającej infrastruktury społecznej (zwłaszcza z myślą o seniorach, osobach niepełnosprawnych i  przewlekle chorych – na terenie Gminy nie ma Domów Pomocy Społecznej, Warsztatów Terapii Zajęciowej, Świetlic Socjoterapeutycznych, mieszkań chronionych lub wytchnieniach.</w:t>
            </w:r>
          </w:p>
          <w:p w:rsidR="003B7B70" w:rsidRDefault="003B7B70" w:rsidP="003B7B7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Gmina dysponuje ciekawymi obszarami  - koryta i brzegi rzek, zbiorniki wodne, ścieżki  - do wykorzystania w celach rekreacyjnych, turystycznych i in</w:t>
            </w:r>
            <w:r w:rsidR="00985B15">
              <w:rPr>
                <w:rFonts w:asciiTheme="minorHAnsi" w:hAnsiTheme="minorHAnsi" w:cstheme="minorHAnsi"/>
              </w:rPr>
              <w:t>tegrujących społeczność lokalną</w:t>
            </w:r>
          </w:p>
          <w:p w:rsidR="003D76A3" w:rsidRPr="003D76A3" w:rsidRDefault="003D76A3"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76A3">
              <w:rPr>
                <w:rFonts w:asciiTheme="minorHAnsi" w:hAnsiTheme="minorHAnsi" w:cstheme="minorHAnsi"/>
              </w:rPr>
              <w:t>Odsetek ludności korzystającej z sieci gazowej</w:t>
            </w:r>
            <w:r>
              <w:rPr>
                <w:rFonts w:asciiTheme="minorHAnsi" w:hAnsiTheme="minorHAnsi" w:cstheme="minorHAnsi"/>
              </w:rPr>
              <w:t xml:space="preserve"> – ogółem 50,92% za 2014 rok</w:t>
            </w:r>
          </w:p>
          <w:p w:rsidR="003D76A3" w:rsidRPr="003B7B70" w:rsidRDefault="003D76A3"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 xml:space="preserve">(zgodnie z Instrukcją wskaźnik </w:t>
            </w:r>
            <w:r w:rsidRPr="003D76A3">
              <w:rPr>
                <w:rFonts w:asciiTheme="minorHAnsi" w:hAnsiTheme="minorHAnsi" w:cstheme="minorHAnsi"/>
                <w:i/>
              </w:rPr>
              <w:t xml:space="preserve">21. Odsetek ludności korzystającej z sieci gazowej, </w:t>
            </w:r>
            <w:r>
              <w:rPr>
                <w:rFonts w:asciiTheme="minorHAnsi" w:hAnsiTheme="minorHAnsi" w:cstheme="minorHAnsi"/>
                <w:i/>
              </w:rPr>
              <w:t xml:space="preserve">w ramach </w:t>
            </w:r>
            <w:r w:rsidRPr="003B7B70">
              <w:rPr>
                <w:rFonts w:asciiTheme="minorHAnsi" w:hAnsiTheme="minorHAnsi" w:cstheme="minorHAnsi"/>
                <w:i/>
              </w:rPr>
              <w:t xml:space="preserve"> kategorii </w:t>
            </w:r>
            <w:r>
              <w:rPr>
                <w:rFonts w:asciiTheme="minorHAnsi" w:hAnsiTheme="minorHAnsi" w:cstheme="minorHAnsi"/>
                <w:i/>
              </w:rPr>
              <w:t>Ochrona Środowiska</w:t>
            </w:r>
            <w:r>
              <w:t xml:space="preserve"> </w:t>
            </w:r>
            <w:r>
              <w:rPr>
                <w:rFonts w:asciiTheme="minorHAnsi" w:hAnsiTheme="minorHAnsi" w:cstheme="minorHAnsi"/>
                <w:i/>
              </w:rPr>
              <w:t>przyjęto</w:t>
            </w:r>
            <w:r w:rsidRPr="003B7B70">
              <w:rPr>
                <w:rFonts w:asciiTheme="minorHAnsi" w:hAnsiTheme="minorHAnsi" w:cstheme="minorHAnsi"/>
                <w:i/>
              </w:rPr>
              <w:t xml:space="preserve"> następujące da</w:t>
            </w:r>
            <w:r>
              <w:rPr>
                <w:rFonts w:asciiTheme="minorHAnsi" w:hAnsiTheme="minorHAnsi" w:cstheme="minorHAnsi"/>
                <w:i/>
              </w:rPr>
              <w:t xml:space="preserve">ne referencyjne: województwa </w:t>
            </w:r>
            <w:r w:rsidRPr="003D76A3">
              <w:rPr>
                <w:rFonts w:asciiTheme="minorHAnsi" w:hAnsiTheme="minorHAnsi" w:cstheme="minorHAnsi"/>
                <w:i/>
              </w:rPr>
              <w:t>72,5% wszystkich gospodarstw</w:t>
            </w:r>
            <w:r w:rsidRPr="003B7B70">
              <w:rPr>
                <w:rFonts w:asciiTheme="minorHAnsi" w:hAnsiTheme="minorHAnsi" w:cstheme="minorHAnsi"/>
                <w:i/>
              </w:rPr>
              <w:t>)</w:t>
            </w:r>
          </w:p>
        </w:tc>
      </w:tr>
      <w:tr w:rsidR="003D76A3" w:rsidRPr="003B7B70" w:rsidTr="003D76A3">
        <w:trPr>
          <w:trHeight w:val="1417"/>
        </w:trPr>
        <w:tc>
          <w:tcPr>
            <w:cnfStyle w:val="001000000000" w:firstRow="0" w:lastRow="0" w:firstColumn="1" w:lastColumn="0" w:oddVBand="0" w:evenVBand="0" w:oddHBand="0" w:evenHBand="0" w:firstRowFirstColumn="0" w:firstRowLastColumn="0" w:lastRowFirstColumn="0" w:lastRowLastColumn="0"/>
            <w:tcW w:w="2376" w:type="dxa"/>
          </w:tcPr>
          <w:p w:rsidR="003D76A3" w:rsidRPr="003B7B70" w:rsidRDefault="003D76A3" w:rsidP="003D76A3">
            <w:pPr>
              <w:jc w:val="both"/>
              <w:rPr>
                <w:rFonts w:cstheme="minorHAnsi"/>
              </w:rPr>
            </w:pPr>
            <w:r>
              <w:rPr>
                <w:rFonts w:cstheme="minorHAnsi"/>
              </w:rPr>
              <w:t>Negatywne zjawiska środowiskowe</w:t>
            </w:r>
          </w:p>
        </w:tc>
        <w:tc>
          <w:tcPr>
            <w:tcW w:w="6836" w:type="dxa"/>
          </w:tcPr>
          <w:p w:rsidR="003D76A3" w:rsidRDefault="003D76A3" w:rsidP="003D7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Wysoki udział CO2 pochodzącego ze spalania w paleniskach domowych – więcej opisano w Planie Gospodarki Niskoemisyjnej Gminy Tryńcza.</w:t>
            </w:r>
          </w:p>
          <w:p w:rsidR="003D76A3" w:rsidRPr="003D76A3" w:rsidRDefault="003D76A3" w:rsidP="003D7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D76A3">
              <w:rPr>
                <w:rFonts w:asciiTheme="minorHAnsi" w:hAnsiTheme="minorHAnsi" w:cstheme="minorHAnsi"/>
              </w:rPr>
              <w:t>Odsetek ludności korzystającej z sieci gazowej</w:t>
            </w:r>
            <w:r>
              <w:rPr>
                <w:rFonts w:asciiTheme="minorHAnsi" w:hAnsiTheme="minorHAnsi" w:cstheme="minorHAnsi"/>
              </w:rPr>
              <w:t xml:space="preserve"> – ogółem 50,92% za 2014 rok</w:t>
            </w:r>
          </w:p>
          <w:p w:rsidR="003D76A3" w:rsidRPr="003B7B70" w:rsidRDefault="003D76A3" w:rsidP="003D76A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B7B70">
              <w:rPr>
                <w:rFonts w:asciiTheme="minorHAnsi" w:hAnsiTheme="minorHAnsi" w:cstheme="minorHAnsi"/>
                <w:i/>
              </w:rPr>
              <w:t xml:space="preserve">(zgodnie z Instrukcją wskaźnik </w:t>
            </w:r>
            <w:r w:rsidRPr="003D76A3">
              <w:rPr>
                <w:rFonts w:asciiTheme="minorHAnsi" w:hAnsiTheme="minorHAnsi" w:cstheme="minorHAnsi"/>
                <w:i/>
              </w:rPr>
              <w:t xml:space="preserve">21. Odsetek ludności korzystającej z sieci gazowej, </w:t>
            </w:r>
            <w:r>
              <w:rPr>
                <w:rFonts w:asciiTheme="minorHAnsi" w:hAnsiTheme="minorHAnsi" w:cstheme="minorHAnsi"/>
                <w:i/>
              </w:rPr>
              <w:t xml:space="preserve">w ramach </w:t>
            </w:r>
            <w:r w:rsidRPr="003B7B70">
              <w:rPr>
                <w:rFonts w:asciiTheme="minorHAnsi" w:hAnsiTheme="minorHAnsi" w:cstheme="minorHAnsi"/>
                <w:i/>
              </w:rPr>
              <w:t xml:space="preserve"> kategorii </w:t>
            </w:r>
            <w:r>
              <w:rPr>
                <w:rFonts w:asciiTheme="minorHAnsi" w:hAnsiTheme="minorHAnsi" w:cstheme="minorHAnsi"/>
                <w:i/>
              </w:rPr>
              <w:t>Ochrona Środowiska</w:t>
            </w:r>
            <w:r>
              <w:t xml:space="preserve"> </w:t>
            </w:r>
            <w:r>
              <w:rPr>
                <w:rFonts w:asciiTheme="minorHAnsi" w:hAnsiTheme="minorHAnsi" w:cstheme="minorHAnsi"/>
                <w:i/>
              </w:rPr>
              <w:t>przyjęto</w:t>
            </w:r>
            <w:r w:rsidRPr="003B7B70">
              <w:rPr>
                <w:rFonts w:asciiTheme="minorHAnsi" w:hAnsiTheme="minorHAnsi" w:cstheme="minorHAnsi"/>
                <w:i/>
              </w:rPr>
              <w:t xml:space="preserve"> następujące da</w:t>
            </w:r>
            <w:r>
              <w:rPr>
                <w:rFonts w:asciiTheme="minorHAnsi" w:hAnsiTheme="minorHAnsi" w:cstheme="minorHAnsi"/>
                <w:i/>
              </w:rPr>
              <w:t xml:space="preserve">ne referencyjne: województwa </w:t>
            </w:r>
            <w:r w:rsidRPr="003D76A3">
              <w:rPr>
                <w:rFonts w:asciiTheme="minorHAnsi" w:hAnsiTheme="minorHAnsi" w:cstheme="minorHAnsi"/>
                <w:i/>
              </w:rPr>
              <w:t>72,5% wszystkich gospodarstw</w:t>
            </w:r>
          </w:p>
        </w:tc>
      </w:tr>
      <w:tr w:rsidR="003B7B70" w:rsidRPr="003B7B70" w:rsidTr="003B7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B7B70" w:rsidRPr="003B7B70" w:rsidRDefault="003B7B70" w:rsidP="003B7B70">
            <w:pPr>
              <w:jc w:val="both"/>
              <w:rPr>
                <w:rFonts w:asciiTheme="minorHAnsi" w:hAnsiTheme="minorHAnsi" w:cstheme="minorHAnsi"/>
              </w:rPr>
            </w:pPr>
            <w:r w:rsidRPr="003B7B70">
              <w:rPr>
                <w:rFonts w:asciiTheme="minorHAnsi" w:hAnsiTheme="minorHAnsi" w:cstheme="minorHAnsi"/>
              </w:rPr>
              <w:lastRenderedPageBreak/>
              <w:t>Niewystarczający udział partycypacji społecznej – niskie zaangażowanie mieszkańców w sprawy gminne</w:t>
            </w:r>
          </w:p>
        </w:tc>
        <w:tc>
          <w:tcPr>
            <w:tcW w:w="6836" w:type="dxa"/>
          </w:tcPr>
          <w:p w:rsidR="003B7B70" w:rsidRPr="003B7B70" w:rsidRDefault="003B7B70" w:rsidP="003B7B7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organizacji pozarządowych na 100 osób wg miejsca zamieszkania – </w:t>
            </w:r>
            <w:r w:rsidRPr="003B7B70">
              <w:rPr>
                <w:rFonts w:asciiTheme="minorHAnsi" w:hAnsiTheme="minorHAnsi" w:cstheme="minorHAnsi"/>
                <w:b/>
              </w:rPr>
              <w:t>0,</w:t>
            </w:r>
            <w:r>
              <w:rPr>
                <w:rFonts w:asciiTheme="minorHAnsi" w:hAnsiTheme="minorHAnsi" w:cstheme="minorHAnsi"/>
                <w:b/>
              </w:rPr>
              <w:t>68</w:t>
            </w:r>
          </w:p>
          <w:p w:rsidR="003B7B70" w:rsidRPr="003B7B70" w:rsidRDefault="003B7B70" w:rsidP="003B7B7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19 kategorii Integracja Społeczna  za 2013 rok przyjął następujące dane referencyjne: województwo 0,33)</w:t>
            </w:r>
          </w:p>
          <w:p w:rsidR="003B7B70" w:rsidRPr="003B7B70" w:rsidRDefault="003B7B70" w:rsidP="003B7B7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rsidR="003B7B70" w:rsidRDefault="003B7B70" w:rsidP="00985B15">
      <w:pPr>
        <w:pStyle w:val="Legenda"/>
      </w:pPr>
      <w:r>
        <w:t>Źródło: Opracowanie własne</w:t>
      </w:r>
    </w:p>
    <w:p w:rsidR="003B7B70" w:rsidRDefault="003B7B70" w:rsidP="003B7B70">
      <w:pPr>
        <w:pStyle w:val="Nagwek2"/>
      </w:pPr>
      <w:bookmarkStart w:id="117" w:name="_Toc496558093"/>
      <w:r>
        <w:t>Podobszar Tryńcza – Wólka Małkowa</w:t>
      </w:r>
      <w:bookmarkEnd w:id="117"/>
      <w:r>
        <w:t xml:space="preserve"> </w:t>
      </w:r>
    </w:p>
    <w:p w:rsidR="00985B15" w:rsidRDefault="00985B15" w:rsidP="00985B15">
      <w:pPr>
        <w:jc w:val="both"/>
      </w:pPr>
      <w:r>
        <w:t xml:space="preserve">Obszar spełnia wymagania art. 9 ust. 1 o rewitalizacji i minimum cztery kryteria Instrukcji </w:t>
      </w:r>
      <w:r w:rsidRPr="007C3562">
        <w:rPr>
          <w:i/>
        </w:rPr>
        <w:t>przygotowania programów rewitalizacji w zakresie wsparcia w</w:t>
      </w:r>
      <w:r>
        <w:rPr>
          <w:i/>
        </w:rPr>
        <w:t> </w:t>
      </w:r>
      <w:r w:rsidRPr="007C3562">
        <w:rPr>
          <w:i/>
        </w:rPr>
        <w:t>ramach Regionalnego Programu Operacyjnego Województwa Podkarpackiego na lata 2014-2020</w:t>
      </w:r>
    </w:p>
    <w:tbl>
      <w:tblPr>
        <w:tblStyle w:val="Tabelasiatki5ciemnaakcent32"/>
        <w:tblW w:w="0" w:type="auto"/>
        <w:tblLook w:val="04A0" w:firstRow="1" w:lastRow="0" w:firstColumn="1" w:lastColumn="0" w:noHBand="0" w:noVBand="1"/>
      </w:tblPr>
      <w:tblGrid>
        <w:gridCol w:w="2376"/>
        <w:gridCol w:w="6836"/>
      </w:tblGrid>
      <w:tr w:rsidR="00526CAB" w:rsidRPr="003B7B70" w:rsidTr="003D76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26CAB" w:rsidRPr="003B7B70" w:rsidRDefault="00526CAB" w:rsidP="003D76A3">
            <w:pPr>
              <w:jc w:val="both"/>
              <w:rPr>
                <w:rFonts w:asciiTheme="minorHAnsi" w:hAnsiTheme="minorHAnsi" w:cstheme="minorHAnsi"/>
              </w:rPr>
            </w:pPr>
            <w:r w:rsidRPr="003B7B70">
              <w:rPr>
                <w:rFonts w:asciiTheme="minorHAnsi" w:hAnsiTheme="minorHAnsi" w:cstheme="minorHAnsi"/>
              </w:rPr>
              <w:t>Kryterium delimitacji</w:t>
            </w:r>
          </w:p>
        </w:tc>
        <w:tc>
          <w:tcPr>
            <w:tcW w:w="6836" w:type="dxa"/>
          </w:tcPr>
          <w:p w:rsidR="00526CAB" w:rsidRPr="003B7B70" w:rsidRDefault="00526CAB" w:rsidP="003D76A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Nazwa wskaźnika i jego wartość</w:t>
            </w:r>
          </w:p>
        </w:tc>
      </w:tr>
      <w:tr w:rsidR="00526CAB" w:rsidRPr="003B7B70" w:rsidTr="003D7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26CAB" w:rsidRPr="003B7B70" w:rsidRDefault="00526CAB" w:rsidP="003D76A3">
            <w:pPr>
              <w:jc w:val="both"/>
              <w:rPr>
                <w:rFonts w:asciiTheme="minorHAnsi" w:hAnsiTheme="minorHAnsi" w:cstheme="minorHAnsi"/>
              </w:rPr>
            </w:pPr>
            <w:r w:rsidRPr="003B7B70">
              <w:rPr>
                <w:rFonts w:asciiTheme="minorHAnsi" w:hAnsiTheme="minorHAnsi" w:cstheme="minorHAnsi"/>
              </w:rPr>
              <w:t>Powierzchnia obszaru</w:t>
            </w:r>
          </w:p>
        </w:tc>
        <w:tc>
          <w:tcPr>
            <w:tcW w:w="6836" w:type="dxa"/>
          </w:tcPr>
          <w:p w:rsidR="00526CAB" w:rsidRPr="003B7B70" w:rsidRDefault="00526CAB" w:rsidP="00526CA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110,46 ha</w:t>
            </w:r>
          </w:p>
        </w:tc>
      </w:tr>
      <w:tr w:rsidR="00526CAB" w:rsidRPr="003B7B70" w:rsidTr="003D76A3">
        <w:tc>
          <w:tcPr>
            <w:cnfStyle w:val="001000000000" w:firstRow="0" w:lastRow="0" w:firstColumn="1" w:lastColumn="0" w:oddVBand="0" w:evenVBand="0" w:oddHBand="0" w:evenHBand="0" w:firstRowFirstColumn="0" w:firstRowLastColumn="0" w:lastRowFirstColumn="0" w:lastRowLastColumn="0"/>
            <w:tcW w:w="2376" w:type="dxa"/>
          </w:tcPr>
          <w:p w:rsidR="00526CAB" w:rsidRPr="003B7B70" w:rsidRDefault="00526CAB" w:rsidP="003D76A3">
            <w:pPr>
              <w:jc w:val="both"/>
              <w:rPr>
                <w:rFonts w:asciiTheme="minorHAnsi" w:hAnsiTheme="minorHAnsi" w:cstheme="minorHAnsi"/>
              </w:rPr>
            </w:pPr>
            <w:r w:rsidRPr="003B7B70">
              <w:rPr>
                <w:rFonts w:asciiTheme="minorHAnsi" w:hAnsiTheme="minorHAnsi" w:cstheme="minorHAnsi"/>
              </w:rPr>
              <w:t>Mieszkańcy obszaru</w:t>
            </w:r>
          </w:p>
        </w:tc>
        <w:tc>
          <w:tcPr>
            <w:tcW w:w="6836" w:type="dxa"/>
          </w:tcPr>
          <w:p w:rsidR="00526CAB" w:rsidRPr="003B7B70" w:rsidRDefault="00526CAB" w:rsidP="00526CA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180 osób</w:t>
            </w:r>
          </w:p>
        </w:tc>
      </w:tr>
      <w:tr w:rsidR="00526CAB" w:rsidRPr="003B7B70" w:rsidTr="003D7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26CAB" w:rsidRPr="003B7B70" w:rsidRDefault="00526CAB" w:rsidP="003D76A3">
            <w:pPr>
              <w:jc w:val="both"/>
              <w:rPr>
                <w:rFonts w:asciiTheme="minorHAnsi" w:hAnsiTheme="minorHAnsi" w:cstheme="minorHAnsi"/>
              </w:rPr>
            </w:pPr>
            <w:r w:rsidRPr="003B7B70">
              <w:rPr>
                <w:rFonts w:asciiTheme="minorHAnsi" w:hAnsiTheme="minorHAnsi" w:cstheme="minorHAnsi"/>
              </w:rPr>
              <w:t>Negatywne zjawiska społeczne - bezrobocie</w:t>
            </w:r>
          </w:p>
        </w:tc>
        <w:tc>
          <w:tcPr>
            <w:tcW w:w="6836" w:type="dxa"/>
          </w:tcPr>
          <w:p w:rsidR="00526CAB" w:rsidRPr="003B7B70" w:rsidRDefault="00526CAB" w:rsidP="003D76A3">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Udział bezrobotnych zarejestrowanych w liczbie ludności w wieku produkcyjnym wg miejsca zamieszkania – </w:t>
            </w:r>
            <w:r>
              <w:rPr>
                <w:rFonts w:asciiTheme="minorHAnsi" w:hAnsiTheme="minorHAnsi" w:cstheme="minorHAnsi"/>
                <w:b/>
              </w:rPr>
              <w:t>13,82</w:t>
            </w:r>
            <w:r w:rsidRPr="003B7B70">
              <w:rPr>
                <w:rFonts w:asciiTheme="minorHAnsi" w:hAnsiTheme="minorHAnsi" w:cstheme="minorHAnsi"/>
                <w:b/>
              </w:rPr>
              <w:t xml:space="preserve">% ogółem, </w:t>
            </w:r>
            <w:r>
              <w:rPr>
                <w:rFonts w:asciiTheme="minorHAnsi" w:hAnsiTheme="minorHAnsi" w:cstheme="minorHAnsi"/>
                <w:b/>
              </w:rPr>
              <w:t>11,55</w:t>
            </w:r>
            <w:r w:rsidRPr="003B7B70">
              <w:rPr>
                <w:rFonts w:asciiTheme="minorHAnsi" w:hAnsiTheme="minorHAnsi" w:cstheme="minorHAnsi"/>
                <w:b/>
              </w:rPr>
              <w:t xml:space="preserve">% mężczyźni, </w:t>
            </w:r>
            <w:r>
              <w:rPr>
                <w:rFonts w:asciiTheme="minorHAnsi" w:hAnsiTheme="minorHAnsi" w:cstheme="minorHAnsi"/>
                <w:b/>
              </w:rPr>
              <w:t>16,58</w:t>
            </w:r>
            <w:r w:rsidRPr="003B7B70">
              <w:rPr>
                <w:rFonts w:asciiTheme="minorHAnsi" w:hAnsiTheme="minorHAnsi" w:cstheme="minorHAnsi"/>
                <w:b/>
              </w:rPr>
              <w:t>% kobiety</w:t>
            </w:r>
          </w:p>
          <w:p w:rsidR="00526CAB" w:rsidRPr="003B7B70" w:rsidRDefault="00526CAB" w:rsidP="003D76A3">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(zgodnie z Instrukcją wskaźnik 6 kategorii Rynek pracy za 2014 rok przyjął następujące dane referencyjne: województwo – 10,20% bezrobotnych ogółem, powiat przeworski – 11,39% bezrobotnych ogółem</w:t>
            </w:r>
            <w:r w:rsidRPr="003B7B70">
              <w:rPr>
                <w:rFonts w:asciiTheme="minorHAnsi" w:hAnsiTheme="minorHAnsi" w:cstheme="minorHAnsi"/>
              </w:rPr>
              <w:t>)</w:t>
            </w:r>
          </w:p>
        </w:tc>
      </w:tr>
      <w:tr w:rsidR="00526CAB" w:rsidRPr="003B7B70" w:rsidTr="003D76A3">
        <w:tc>
          <w:tcPr>
            <w:cnfStyle w:val="001000000000" w:firstRow="0" w:lastRow="0" w:firstColumn="1" w:lastColumn="0" w:oddVBand="0" w:evenVBand="0" w:oddHBand="0" w:evenHBand="0" w:firstRowFirstColumn="0" w:firstRowLastColumn="0" w:lastRowFirstColumn="0" w:lastRowLastColumn="0"/>
            <w:tcW w:w="2376" w:type="dxa"/>
          </w:tcPr>
          <w:p w:rsidR="00526CAB" w:rsidRPr="003B7B70" w:rsidRDefault="00526CAB" w:rsidP="003D76A3">
            <w:pPr>
              <w:jc w:val="both"/>
              <w:rPr>
                <w:rFonts w:asciiTheme="minorHAnsi" w:hAnsiTheme="minorHAnsi" w:cstheme="minorHAnsi"/>
              </w:rPr>
            </w:pPr>
            <w:r w:rsidRPr="003B7B70">
              <w:rPr>
                <w:rFonts w:asciiTheme="minorHAnsi" w:hAnsiTheme="minorHAnsi" w:cstheme="minorHAnsi"/>
              </w:rPr>
              <w:t>Negatywne zjawiska społeczne - ubóstwo</w:t>
            </w:r>
          </w:p>
        </w:tc>
        <w:tc>
          <w:tcPr>
            <w:tcW w:w="6836" w:type="dxa"/>
          </w:tcPr>
          <w:p w:rsidR="00526CAB" w:rsidRPr="003B7B70" w:rsidRDefault="00526CAB" w:rsidP="003D76A3">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osób korzystających ze świadczeń pomocy społecznej w przeliczeniu na 100 osób wg miejsca zamieszkania – </w:t>
            </w:r>
            <w:r>
              <w:rPr>
                <w:rFonts w:asciiTheme="minorHAnsi" w:hAnsiTheme="minorHAnsi" w:cstheme="minorHAnsi"/>
              </w:rPr>
              <w:t>12,26</w:t>
            </w:r>
            <w:r w:rsidRPr="003B7B70">
              <w:rPr>
                <w:rFonts w:asciiTheme="minorHAnsi" w:hAnsiTheme="minorHAnsi" w:cstheme="minorHAnsi"/>
              </w:rPr>
              <w:t xml:space="preserve"> ogółem, </w:t>
            </w:r>
            <w:r>
              <w:rPr>
                <w:rFonts w:asciiTheme="minorHAnsi" w:hAnsiTheme="minorHAnsi" w:cstheme="minorHAnsi"/>
              </w:rPr>
              <w:t>12,43</w:t>
            </w:r>
            <w:r w:rsidRPr="003B7B70">
              <w:rPr>
                <w:rFonts w:asciiTheme="minorHAnsi" w:hAnsiTheme="minorHAnsi" w:cstheme="minorHAnsi"/>
              </w:rPr>
              <w:t xml:space="preserve"> mężczyźni, </w:t>
            </w:r>
            <w:r>
              <w:rPr>
                <w:rFonts w:asciiTheme="minorHAnsi" w:hAnsiTheme="minorHAnsi" w:cstheme="minorHAnsi"/>
              </w:rPr>
              <w:t xml:space="preserve">12,08 </w:t>
            </w:r>
            <w:r w:rsidRPr="003B7B70">
              <w:rPr>
                <w:rFonts w:asciiTheme="minorHAnsi" w:hAnsiTheme="minorHAnsi" w:cstheme="minorHAnsi"/>
              </w:rPr>
              <w:t>kobiety</w:t>
            </w:r>
          </w:p>
          <w:p w:rsidR="00526CAB" w:rsidRPr="003B7B70" w:rsidRDefault="00526CAB" w:rsidP="003D76A3">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(zgodnie z Instrukcją wskaźnik 8 kategorii Pomoc społeczna za 2014 rok przyjął następujące dane referencyjne: województwo 6,1, powiat przeworski - 12,25 ogółem)</w:t>
            </w:r>
          </w:p>
        </w:tc>
      </w:tr>
      <w:tr w:rsidR="00526CAB" w:rsidRPr="003B7B70" w:rsidTr="003D7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26CAB" w:rsidRPr="003B7B70" w:rsidRDefault="00526CAB" w:rsidP="003D76A3">
            <w:pPr>
              <w:jc w:val="both"/>
              <w:rPr>
                <w:rFonts w:asciiTheme="minorHAnsi" w:hAnsiTheme="minorHAnsi" w:cstheme="minorHAnsi"/>
              </w:rPr>
            </w:pPr>
            <w:r w:rsidRPr="003B7B70">
              <w:rPr>
                <w:rFonts w:asciiTheme="minorHAnsi" w:hAnsiTheme="minorHAnsi" w:cstheme="minorHAnsi"/>
              </w:rPr>
              <w:t>Negatywne zjawiska społeczne - Niekorzystne trendy demograficzne</w:t>
            </w:r>
          </w:p>
        </w:tc>
        <w:tc>
          <w:tcPr>
            <w:tcW w:w="6836" w:type="dxa"/>
          </w:tcPr>
          <w:p w:rsidR="00526CAB" w:rsidRPr="003B7B70" w:rsidRDefault="00526CAB"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Mediana wieku – </w:t>
            </w:r>
            <w:r>
              <w:rPr>
                <w:rFonts w:asciiTheme="minorHAnsi" w:hAnsiTheme="minorHAnsi" w:cstheme="minorHAnsi"/>
                <w:b/>
              </w:rPr>
              <w:t>38,26</w:t>
            </w:r>
            <w:r w:rsidRPr="003B7B70">
              <w:rPr>
                <w:rFonts w:asciiTheme="minorHAnsi" w:hAnsiTheme="minorHAnsi" w:cstheme="minorHAnsi"/>
                <w:b/>
              </w:rPr>
              <w:t xml:space="preserve"> ogółem w tym </w:t>
            </w:r>
            <w:r>
              <w:rPr>
                <w:rFonts w:asciiTheme="minorHAnsi" w:hAnsiTheme="minorHAnsi" w:cstheme="minorHAnsi"/>
                <w:b/>
              </w:rPr>
              <w:t>38,52</w:t>
            </w:r>
            <w:r w:rsidRPr="003B7B70">
              <w:rPr>
                <w:rFonts w:asciiTheme="minorHAnsi" w:hAnsiTheme="minorHAnsi" w:cstheme="minorHAnsi"/>
                <w:b/>
              </w:rPr>
              <w:t xml:space="preserve"> kobiety</w:t>
            </w:r>
          </w:p>
          <w:p w:rsidR="00526CAB" w:rsidRPr="003B7B70" w:rsidRDefault="00526CAB"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3 kategorii Demografia za 2014 rok przyjął następujące dane referencyjne: województwo 38)</w:t>
            </w:r>
          </w:p>
          <w:p w:rsidR="00526CAB" w:rsidRPr="003B7B70" w:rsidRDefault="00526CAB" w:rsidP="00526CA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26CAB" w:rsidRPr="003B7B70" w:rsidTr="003D76A3">
        <w:tc>
          <w:tcPr>
            <w:cnfStyle w:val="001000000000" w:firstRow="0" w:lastRow="0" w:firstColumn="1" w:lastColumn="0" w:oddVBand="0" w:evenVBand="0" w:oddHBand="0" w:evenHBand="0" w:firstRowFirstColumn="0" w:firstRowLastColumn="0" w:lastRowFirstColumn="0" w:lastRowLastColumn="0"/>
            <w:tcW w:w="2376" w:type="dxa"/>
          </w:tcPr>
          <w:p w:rsidR="00526CAB" w:rsidRPr="003B7B70" w:rsidRDefault="00526CAB" w:rsidP="003D76A3">
            <w:pPr>
              <w:jc w:val="both"/>
              <w:rPr>
                <w:rFonts w:asciiTheme="minorHAnsi" w:hAnsiTheme="minorHAnsi" w:cstheme="minorHAnsi"/>
              </w:rPr>
            </w:pPr>
            <w:r w:rsidRPr="003B7B70">
              <w:rPr>
                <w:rFonts w:asciiTheme="minorHAnsi" w:hAnsiTheme="minorHAnsi" w:cstheme="minorHAnsi"/>
              </w:rPr>
              <w:t>Negatywne zjawiska gospodarcze</w:t>
            </w:r>
          </w:p>
        </w:tc>
        <w:tc>
          <w:tcPr>
            <w:tcW w:w="6836" w:type="dxa"/>
          </w:tcPr>
          <w:p w:rsidR="00526CAB" w:rsidRPr="003B7B70" w:rsidRDefault="00526CAB" w:rsidP="003D7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zarejestrowanych podmiotów gospodarczych w rejestrze REGON w przeliczeniu na 100 osób wg faktycznego miejsca zamieszkania – ogółem </w:t>
            </w:r>
            <w:r w:rsidRPr="003B7B70">
              <w:rPr>
                <w:rFonts w:asciiTheme="minorHAnsi" w:hAnsiTheme="minorHAnsi" w:cstheme="minorHAnsi"/>
                <w:b/>
              </w:rPr>
              <w:t xml:space="preserve">– </w:t>
            </w:r>
            <w:r>
              <w:rPr>
                <w:rFonts w:asciiTheme="minorHAnsi" w:hAnsiTheme="minorHAnsi" w:cstheme="minorHAnsi"/>
                <w:b/>
              </w:rPr>
              <w:t>3,52</w:t>
            </w:r>
          </w:p>
          <w:p w:rsidR="00526CAB" w:rsidRPr="003B7B70" w:rsidRDefault="00526CAB" w:rsidP="003D7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11 kategorii Podmioty gospodarcze  za 2014 rok przyjął następujące dane referencyjne: województwo 7,6)</w:t>
            </w:r>
          </w:p>
          <w:p w:rsidR="00526CAB" w:rsidRPr="003B7B70" w:rsidRDefault="00526CAB" w:rsidP="003D7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26CAB" w:rsidRPr="003B7B70" w:rsidTr="00985B15">
        <w:trPr>
          <w:cnfStyle w:val="000000100000" w:firstRow="0" w:lastRow="0" w:firstColumn="0" w:lastColumn="0" w:oddVBand="0" w:evenVBand="0" w:oddHBand="1" w:evenHBand="0" w:firstRowFirstColumn="0" w:firstRowLastColumn="0" w:lastRowFirstColumn="0" w:lastRowLastColumn="0"/>
          <w:trHeight w:val="1760"/>
        </w:trPr>
        <w:tc>
          <w:tcPr>
            <w:cnfStyle w:val="001000000000" w:firstRow="0" w:lastRow="0" w:firstColumn="1" w:lastColumn="0" w:oddVBand="0" w:evenVBand="0" w:oddHBand="0" w:evenHBand="0" w:firstRowFirstColumn="0" w:firstRowLastColumn="0" w:lastRowFirstColumn="0" w:lastRowLastColumn="0"/>
            <w:tcW w:w="2376" w:type="dxa"/>
          </w:tcPr>
          <w:p w:rsidR="00526CAB" w:rsidRPr="003B7B70" w:rsidRDefault="00526CAB" w:rsidP="003D76A3">
            <w:pPr>
              <w:jc w:val="both"/>
              <w:rPr>
                <w:rFonts w:asciiTheme="minorHAnsi" w:hAnsiTheme="minorHAnsi" w:cstheme="minorHAnsi"/>
              </w:rPr>
            </w:pPr>
            <w:r w:rsidRPr="003B7B70">
              <w:rPr>
                <w:rFonts w:asciiTheme="minorHAnsi" w:hAnsiTheme="minorHAnsi" w:cstheme="minorHAnsi"/>
              </w:rPr>
              <w:t>Negatywne zjawiska przestrzenno-funkcjonalne</w:t>
            </w:r>
          </w:p>
        </w:tc>
        <w:tc>
          <w:tcPr>
            <w:tcW w:w="6836" w:type="dxa"/>
          </w:tcPr>
          <w:p w:rsidR="00526CAB" w:rsidRPr="003B7B70" w:rsidRDefault="00526CAB"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niewystarczającej infrastruktury społecznej (zwłaszcza z myślą o seniorach, osobach niepełnosprawnych i  przewlekle chorych – na terenie Gminy nie ma Domów Pomocy Społecznej, Warsztatów Terapii Zajęciowej, Świetlic Socjoterapeutycznych, mieszkań chronionych lub wytchnieniach.</w:t>
            </w:r>
          </w:p>
          <w:p w:rsidR="00526CAB" w:rsidRDefault="00526CAB"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Gmina dysponuje ciekawymi obszarami  - koryta i brzegi rzek, zbiorniki wodne, ścieżki  - do wykorzystania w celach rekreacyjnych, turystycznych i in</w:t>
            </w:r>
            <w:r w:rsidR="00985B15">
              <w:rPr>
                <w:rFonts w:asciiTheme="minorHAnsi" w:hAnsiTheme="minorHAnsi" w:cstheme="minorHAnsi"/>
              </w:rPr>
              <w:t>tegrujących społeczność lokalną</w:t>
            </w:r>
          </w:p>
          <w:p w:rsidR="003D76A3" w:rsidRPr="003D76A3" w:rsidRDefault="003D76A3"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76A3">
              <w:rPr>
                <w:rFonts w:asciiTheme="minorHAnsi" w:hAnsiTheme="minorHAnsi" w:cstheme="minorHAnsi"/>
              </w:rPr>
              <w:t>Odsetek ludności korzystającej z sieci gazowej</w:t>
            </w:r>
            <w:r>
              <w:rPr>
                <w:rFonts w:asciiTheme="minorHAnsi" w:hAnsiTheme="minorHAnsi" w:cstheme="minorHAnsi"/>
              </w:rPr>
              <w:t xml:space="preserve"> – ogółem 50,92% za 2014 rok</w:t>
            </w:r>
          </w:p>
          <w:p w:rsidR="003D76A3" w:rsidRPr="003B7B70" w:rsidRDefault="003D76A3"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 xml:space="preserve">(zgodnie z Instrukcją wskaźnik </w:t>
            </w:r>
            <w:r w:rsidRPr="003D76A3">
              <w:rPr>
                <w:rFonts w:asciiTheme="minorHAnsi" w:hAnsiTheme="minorHAnsi" w:cstheme="minorHAnsi"/>
                <w:i/>
              </w:rPr>
              <w:t xml:space="preserve">21. Odsetek ludności korzystającej z sieci gazowej, </w:t>
            </w:r>
            <w:r>
              <w:rPr>
                <w:rFonts w:asciiTheme="minorHAnsi" w:hAnsiTheme="minorHAnsi" w:cstheme="minorHAnsi"/>
                <w:i/>
              </w:rPr>
              <w:t xml:space="preserve">w ramach </w:t>
            </w:r>
            <w:r w:rsidRPr="003B7B70">
              <w:rPr>
                <w:rFonts w:asciiTheme="minorHAnsi" w:hAnsiTheme="minorHAnsi" w:cstheme="minorHAnsi"/>
                <w:i/>
              </w:rPr>
              <w:t xml:space="preserve"> kategorii </w:t>
            </w:r>
            <w:r>
              <w:rPr>
                <w:rFonts w:asciiTheme="minorHAnsi" w:hAnsiTheme="minorHAnsi" w:cstheme="minorHAnsi"/>
                <w:i/>
              </w:rPr>
              <w:t>Ochrona Środowiska</w:t>
            </w:r>
            <w:r>
              <w:t xml:space="preserve"> </w:t>
            </w:r>
            <w:r>
              <w:rPr>
                <w:rFonts w:asciiTheme="minorHAnsi" w:hAnsiTheme="minorHAnsi" w:cstheme="minorHAnsi"/>
                <w:i/>
              </w:rPr>
              <w:t>przyjęto</w:t>
            </w:r>
            <w:r w:rsidRPr="003B7B70">
              <w:rPr>
                <w:rFonts w:asciiTheme="minorHAnsi" w:hAnsiTheme="minorHAnsi" w:cstheme="minorHAnsi"/>
                <w:i/>
              </w:rPr>
              <w:t xml:space="preserve"> następujące da</w:t>
            </w:r>
            <w:r>
              <w:rPr>
                <w:rFonts w:asciiTheme="minorHAnsi" w:hAnsiTheme="minorHAnsi" w:cstheme="minorHAnsi"/>
                <w:i/>
              </w:rPr>
              <w:t xml:space="preserve">ne referencyjne: województwa </w:t>
            </w:r>
            <w:r w:rsidRPr="003D76A3">
              <w:rPr>
                <w:rFonts w:asciiTheme="minorHAnsi" w:hAnsiTheme="minorHAnsi" w:cstheme="minorHAnsi"/>
                <w:i/>
              </w:rPr>
              <w:t>72,5% wszystkich gospodarstw</w:t>
            </w:r>
            <w:r w:rsidRPr="003B7B70">
              <w:rPr>
                <w:rFonts w:asciiTheme="minorHAnsi" w:hAnsiTheme="minorHAnsi" w:cstheme="minorHAnsi"/>
                <w:i/>
              </w:rPr>
              <w:t>)</w:t>
            </w:r>
          </w:p>
        </w:tc>
      </w:tr>
      <w:tr w:rsidR="003D76A3" w:rsidRPr="003B7B70" w:rsidTr="00985B15">
        <w:trPr>
          <w:trHeight w:val="1760"/>
        </w:trPr>
        <w:tc>
          <w:tcPr>
            <w:cnfStyle w:val="001000000000" w:firstRow="0" w:lastRow="0" w:firstColumn="1" w:lastColumn="0" w:oddVBand="0" w:evenVBand="0" w:oddHBand="0" w:evenHBand="0" w:firstRowFirstColumn="0" w:firstRowLastColumn="0" w:lastRowFirstColumn="0" w:lastRowLastColumn="0"/>
            <w:tcW w:w="2376" w:type="dxa"/>
          </w:tcPr>
          <w:p w:rsidR="003D76A3" w:rsidRPr="003B7B70" w:rsidRDefault="003D76A3" w:rsidP="003D76A3">
            <w:pPr>
              <w:jc w:val="both"/>
              <w:rPr>
                <w:rFonts w:cstheme="minorHAnsi"/>
              </w:rPr>
            </w:pPr>
            <w:r>
              <w:rPr>
                <w:rFonts w:cstheme="minorHAnsi"/>
              </w:rPr>
              <w:t>Negatywne zjawiska środowiskowe</w:t>
            </w:r>
          </w:p>
        </w:tc>
        <w:tc>
          <w:tcPr>
            <w:tcW w:w="6836" w:type="dxa"/>
          </w:tcPr>
          <w:p w:rsidR="003D76A3" w:rsidRDefault="003D76A3" w:rsidP="003D7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Wysoki udział CO2 pochodzącego ze spalania w paleniskach domowych – więcej opisano w Planie Gospodarki Niskoemisyjnej Gminy Tryńcza.</w:t>
            </w:r>
          </w:p>
          <w:p w:rsidR="003D76A3" w:rsidRPr="003D76A3" w:rsidRDefault="003D76A3" w:rsidP="003D7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D76A3">
              <w:rPr>
                <w:rFonts w:asciiTheme="minorHAnsi" w:hAnsiTheme="minorHAnsi" w:cstheme="minorHAnsi"/>
              </w:rPr>
              <w:t>Odsetek ludności korzystającej z sieci gazowej</w:t>
            </w:r>
            <w:r>
              <w:rPr>
                <w:rFonts w:asciiTheme="minorHAnsi" w:hAnsiTheme="minorHAnsi" w:cstheme="minorHAnsi"/>
              </w:rPr>
              <w:t xml:space="preserve"> – ogółem 50,92% za 2014 rok</w:t>
            </w:r>
          </w:p>
          <w:p w:rsidR="003D76A3" w:rsidRPr="003B7B70" w:rsidRDefault="003D76A3" w:rsidP="003D76A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B7B70">
              <w:rPr>
                <w:rFonts w:asciiTheme="minorHAnsi" w:hAnsiTheme="minorHAnsi" w:cstheme="minorHAnsi"/>
                <w:i/>
              </w:rPr>
              <w:t xml:space="preserve">(zgodnie z Instrukcją wskaźnik </w:t>
            </w:r>
            <w:r w:rsidRPr="003D76A3">
              <w:rPr>
                <w:rFonts w:asciiTheme="minorHAnsi" w:hAnsiTheme="minorHAnsi" w:cstheme="minorHAnsi"/>
                <w:i/>
              </w:rPr>
              <w:t xml:space="preserve">21. Odsetek ludności korzystającej z sieci gazowej, </w:t>
            </w:r>
            <w:r>
              <w:rPr>
                <w:rFonts w:asciiTheme="minorHAnsi" w:hAnsiTheme="minorHAnsi" w:cstheme="minorHAnsi"/>
                <w:i/>
              </w:rPr>
              <w:t xml:space="preserve">w ramach </w:t>
            </w:r>
            <w:r w:rsidRPr="003B7B70">
              <w:rPr>
                <w:rFonts w:asciiTheme="minorHAnsi" w:hAnsiTheme="minorHAnsi" w:cstheme="minorHAnsi"/>
                <w:i/>
              </w:rPr>
              <w:t xml:space="preserve"> kategorii </w:t>
            </w:r>
            <w:r>
              <w:rPr>
                <w:rFonts w:asciiTheme="minorHAnsi" w:hAnsiTheme="minorHAnsi" w:cstheme="minorHAnsi"/>
                <w:i/>
              </w:rPr>
              <w:t>Ochrona Środowiska</w:t>
            </w:r>
            <w:r>
              <w:t xml:space="preserve"> </w:t>
            </w:r>
            <w:r>
              <w:rPr>
                <w:rFonts w:asciiTheme="minorHAnsi" w:hAnsiTheme="minorHAnsi" w:cstheme="minorHAnsi"/>
                <w:i/>
              </w:rPr>
              <w:t>przyjęto</w:t>
            </w:r>
            <w:r w:rsidRPr="003B7B70">
              <w:rPr>
                <w:rFonts w:asciiTheme="minorHAnsi" w:hAnsiTheme="minorHAnsi" w:cstheme="minorHAnsi"/>
                <w:i/>
              </w:rPr>
              <w:t xml:space="preserve"> następujące da</w:t>
            </w:r>
            <w:r>
              <w:rPr>
                <w:rFonts w:asciiTheme="minorHAnsi" w:hAnsiTheme="minorHAnsi" w:cstheme="minorHAnsi"/>
                <w:i/>
              </w:rPr>
              <w:t xml:space="preserve">ne referencyjne: województwa </w:t>
            </w:r>
            <w:r w:rsidRPr="003D76A3">
              <w:rPr>
                <w:rFonts w:asciiTheme="minorHAnsi" w:hAnsiTheme="minorHAnsi" w:cstheme="minorHAnsi"/>
                <w:i/>
              </w:rPr>
              <w:t>72,5% wszystkich gospodarstw</w:t>
            </w:r>
          </w:p>
        </w:tc>
      </w:tr>
      <w:tr w:rsidR="00526CAB" w:rsidRPr="003B7B70" w:rsidTr="003D7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26CAB" w:rsidRPr="003B7B70" w:rsidRDefault="00526CAB" w:rsidP="003D76A3">
            <w:pPr>
              <w:jc w:val="both"/>
              <w:rPr>
                <w:rFonts w:asciiTheme="minorHAnsi" w:hAnsiTheme="minorHAnsi" w:cstheme="minorHAnsi"/>
              </w:rPr>
            </w:pPr>
            <w:r w:rsidRPr="003B7B70">
              <w:rPr>
                <w:rFonts w:asciiTheme="minorHAnsi" w:hAnsiTheme="minorHAnsi" w:cstheme="minorHAnsi"/>
              </w:rPr>
              <w:t xml:space="preserve">Niewystarczający udział partycypacji społecznej – </w:t>
            </w:r>
            <w:r w:rsidRPr="003B7B70">
              <w:rPr>
                <w:rFonts w:asciiTheme="minorHAnsi" w:hAnsiTheme="minorHAnsi" w:cstheme="minorHAnsi"/>
              </w:rPr>
              <w:lastRenderedPageBreak/>
              <w:t>niskie zaangażowanie mieszkańców w sprawy gminne</w:t>
            </w:r>
          </w:p>
        </w:tc>
        <w:tc>
          <w:tcPr>
            <w:tcW w:w="6836" w:type="dxa"/>
          </w:tcPr>
          <w:p w:rsidR="00526CAB" w:rsidRPr="003B7B70" w:rsidRDefault="00526CAB"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lastRenderedPageBreak/>
              <w:t xml:space="preserve">Liczba organizacji pozarządowych na 100 osób wg miejsca zamieszkania – </w:t>
            </w:r>
            <w:r w:rsidRPr="003B7B70">
              <w:rPr>
                <w:rFonts w:asciiTheme="minorHAnsi" w:hAnsiTheme="minorHAnsi" w:cstheme="minorHAnsi"/>
                <w:b/>
              </w:rPr>
              <w:t>0,</w:t>
            </w:r>
            <w:r>
              <w:rPr>
                <w:rFonts w:asciiTheme="minorHAnsi" w:hAnsiTheme="minorHAnsi" w:cstheme="minorHAnsi"/>
                <w:b/>
              </w:rPr>
              <w:t>31</w:t>
            </w:r>
          </w:p>
          <w:p w:rsidR="00526CAB" w:rsidRPr="003B7B70" w:rsidRDefault="00526CAB"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 xml:space="preserve">(zgodnie z Instrukcją wskaźnik 19 kategorii Integracja Społeczna  za 2013 rok </w:t>
            </w:r>
            <w:r w:rsidRPr="003B7B70">
              <w:rPr>
                <w:rFonts w:asciiTheme="minorHAnsi" w:hAnsiTheme="minorHAnsi" w:cstheme="minorHAnsi"/>
                <w:i/>
              </w:rPr>
              <w:lastRenderedPageBreak/>
              <w:t>przyjął następujące dane referencyjne: województwo 0,33)</w:t>
            </w:r>
          </w:p>
          <w:p w:rsidR="00526CAB" w:rsidRPr="003B7B70" w:rsidRDefault="00526CAB"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rsidR="00526CAB" w:rsidRDefault="00526CAB" w:rsidP="00985B15">
      <w:pPr>
        <w:pStyle w:val="Legenda"/>
      </w:pPr>
      <w:r>
        <w:lastRenderedPageBreak/>
        <w:t>Źródło: Opracowanie własne</w:t>
      </w:r>
    </w:p>
    <w:p w:rsidR="003B7B70" w:rsidRDefault="003B7B70" w:rsidP="003B7B70">
      <w:pPr>
        <w:pStyle w:val="Nagwek2"/>
      </w:pPr>
      <w:bookmarkStart w:id="118" w:name="_Toc496558094"/>
      <w:r>
        <w:t>Podobszar Gniewczyna Łańcucka</w:t>
      </w:r>
      <w:bookmarkEnd w:id="118"/>
    </w:p>
    <w:p w:rsidR="00985B15" w:rsidRDefault="00985B15" w:rsidP="00985B15">
      <w:pPr>
        <w:jc w:val="both"/>
      </w:pPr>
      <w:r>
        <w:t xml:space="preserve">Obszar spełnia wymagania art. 9 ust. 1 o rewitalizacji i minimum cztery kryteria Instrukcji </w:t>
      </w:r>
      <w:r w:rsidRPr="007C3562">
        <w:rPr>
          <w:i/>
        </w:rPr>
        <w:t>przygotowania programów rewitalizacji w zakresie wsparcia w</w:t>
      </w:r>
      <w:r>
        <w:rPr>
          <w:i/>
        </w:rPr>
        <w:t> </w:t>
      </w:r>
      <w:r w:rsidRPr="007C3562">
        <w:rPr>
          <w:i/>
        </w:rPr>
        <w:t>ramach Regionalnego Programu Operacyjnego Województwa Podkarpackiego na lata 2014-2020</w:t>
      </w:r>
    </w:p>
    <w:tbl>
      <w:tblPr>
        <w:tblStyle w:val="Tabelasiatki5ciemnaakcent32"/>
        <w:tblW w:w="0" w:type="auto"/>
        <w:tblLook w:val="04A0" w:firstRow="1" w:lastRow="0" w:firstColumn="1" w:lastColumn="0" w:noHBand="0" w:noVBand="1"/>
      </w:tblPr>
      <w:tblGrid>
        <w:gridCol w:w="2376"/>
        <w:gridCol w:w="6836"/>
      </w:tblGrid>
      <w:tr w:rsidR="00526CAB" w:rsidRPr="003B7B70" w:rsidTr="003D76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26CAB" w:rsidRPr="003B7B70" w:rsidRDefault="00526CAB" w:rsidP="003D76A3">
            <w:pPr>
              <w:jc w:val="both"/>
              <w:rPr>
                <w:rFonts w:asciiTheme="minorHAnsi" w:hAnsiTheme="minorHAnsi" w:cstheme="minorHAnsi"/>
              </w:rPr>
            </w:pPr>
            <w:r w:rsidRPr="003B7B70">
              <w:rPr>
                <w:rFonts w:asciiTheme="minorHAnsi" w:hAnsiTheme="minorHAnsi" w:cstheme="minorHAnsi"/>
              </w:rPr>
              <w:t>Kryterium delimitacji</w:t>
            </w:r>
          </w:p>
        </w:tc>
        <w:tc>
          <w:tcPr>
            <w:tcW w:w="6836" w:type="dxa"/>
          </w:tcPr>
          <w:p w:rsidR="00526CAB" w:rsidRPr="003B7B70" w:rsidRDefault="00526CAB" w:rsidP="003D76A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Nazwa wskaźnika i jego wartość</w:t>
            </w:r>
          </w:p>
        </w:tc>
      </w:tr>
      <w:tr w:rsidR="00526CAB" w:rsidRPr="003B7B70" w:rsidTr="003D7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26CAB" w:rsidRPr="003B7B70" w:rsidRDefault="00526CAB" w:rsidP="003D76A3">
            <w:pPr>
              <w:jc w:val="both"/>
              <w:rPr>
                <w:rFonts w:asciiTheme="minorHAnsi" w:hAnsiTheme="minorHAnsi" w:cstheme="minorHAnsi"/>
              </w:rPr>
            </w:pPr>
            <w:r w:rsidRPr="003B7B70">
              <w:rPr>
                <w:rFonts w:asciiTheme="minorHAnsi" w:hAnsiTheme="minorHAnsi" w:cstheme="minorHAnsi"/>
              </w:rPr>
              <w:t>Powierzchnia obszaru</w:t>
            </w:r>
          </w:p>
        </w:tc>
        <w:tc>
          <w:tcPr>
            <w:tcW w:w="6836" w:type="dxa"/>
          </w:tcPr>
          <w:p w:rsidR="00526CAB" w:rsidRPr="003B7B70" w:rsidRDefault="00526CAB"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6CAB">
              <w:rPr>
                <w:rFonts w:asciiTheme="minorHAnsi" w:hAnsiTheme="minorHAnsi" w:cstheme="minorHAnsi"/>
              </w:rPr>
              <w:t>346,02 ha</w:t>
            </w:r>
          </w:p>
        </w:tc>
      </w:tr>
      <w:tr w:rsidR="00526CAB" w:rsidRPr="003B7B70" w:rsidTr="003D76A3">
        <w:tc>
          <w:tcPr>
            <w:cnfStyle w:val="001000000000" w:firstRow="0" w:lastRow="0" w:firstColumn="1" w:lastColumn="0" w:oddVBand="0" w:evenVBand="0" w:oddHBand="0" w:evenHBand="0" w:firstRowFirstColumn="0" w:firstRowLastColumn="0" w:lastRowFirstColumn="0" w:lastRowLastColumn="0"/>
            <w:tcW w:w="2376" w:type="dxa"/>
          </w:tcPr>
          <w:p w:rsidR="00526CAB" w:rsidRPr="003B7B70" w:rsidRDefault="00526CAB" w:rsidP="003D76A3">
            <w:pPr>
              <w:jc w:val="both"/>
              <w:rPr>
                <w:rFonts w:asciiTheme="minorHAnsi" w:hAnsiTheme="minorHAnsi" w:cstheme="minorHAnsi"/>
              </w:rPr>
            </w:pPr>
            <w:r w:rsidRPr="003B7B70">
              <w:rPr>
                <w:rFonts w:asciiTheme="minorHAnsi" w:hAnsiTheme="minorHAnsi" w:cstheme="minorHAnsi"/>
              </w:rPr>
              <w:t>Mieszkańcy obszaru</w:t>
            </w:r>
          </w:p>
        </w:tc>
        <w:tc>
          <w:tcPr>
            <w:tcW w:w="6836" w:type="dxa"/>
          </w:tcPr>
          <w:p w:rsidR="00526CAB" w:rsidRPr="003B7B70" w:rsidRDefault="00526CAB" w:rsidP="003D7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520 osób</w:t>
            </w:r>
          </w:p>
        </w:tc>
      </w:tr>
      <w:tr w:rsidR="00526CAB" w:rsidRPr="003B7B70" w:rsidTr="003D7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26CAB" w:rsidRPr="003B7B70" w:rsidRDefault="00526CAB" w:rsidP="003D76A3">
            <w:pPr>
              <w:jc w:val="both"/>
              <w:rPr>
                <w:rFonts w:asciiTheme="minorHAnsi" w:hAnsiTheme="minorHAnsi" w:cstheme="minorHAnsi"/>
              </w:rPr>
            </w:pPr>
            <w:r w:rsidRPr="003B7B70">
              <w:rPr>
                <w:rFonts w:asciiTheme="minorHAnsi" w:hAnsiTheme="minorHAnsi" w:cstheme="minorHAnsi"/>
              </w:rPr>
              <w:t>Negatywne zjawiska społeczne - bezrobocie</w:t>
            </w:r>
          </w:p>
        </w:tc>
        <w:tc>
          <w:tcPr>
            <w:tcW w:w="6836" w:type="dxa"/>
          </w:tcPr>
          <w:p w:rsidR="00526CAB" w:rsidRPr="003B7B70" w:rsidRDefault="00526CAB" w:rsidP="003D76A3">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Udział bezrobotnych zarejestrowanych w liczbie ludności w wieku produkcyjnym wg miejsca zamieszkania – </w:t>
            </w:r>
            <w:r>
              <w:rPr>
                <w:rFonts w:asciiTheme="minorHAnsi" w:hAnsiTheme="minorHAnsi" w:cstheme="minorHAnsi"/>
                <w:b/>
              </w:rPr>
              <w:t>12,97</w:t>
            </w:r>
            <w:r w:rsidRPr="003B7B70">
              <w:rPr>
                <w:rFonts w:asciiTheme="minorHAnsi" w:hAnsiTheme="minorHAnsi" w:cstheme="minorHAnsi"/>
                <w:b/>
              </w:rPr>
              <w:t xml:space="preserve">% ogółem, </w:t>
            </w:r>
            <w:r>
              <w:rPr>
                <w:rFonts w:asciiTheme="minorHAnsi" w:hAnsiTheme="minorHAnsi" w:cstheme="minorHAnsi"/>
                <w:b/>
              </w:rPr>
              <w:t>12,72</w:t>
            </w:r>
            <w:r w:rsidRPr="003B7B70">
              <w:rPr>
                <w:rFonts w:asciiTheme="minorHAnsi" w:hAnsiTheme="minorHAnsi" w:cstheme="minorHAnsi"/>
                <w:b/>
              </w:rPr>
              <w:t xml:space="preserve">% mężczyźni, </w:t>
            </w:r>
            <w:r>
              <w:rPr>
                <w:rFonts w:asciiTheme="minorHAnsi" w:hAnsiTheme="minorHAnsi" w:cstheme="minorHAnsi"/>
                <w:b/>
              </w:rPr>
              <w:t>13,28</w:t>
            </w:r>
            <w:r w:rsidRPr="003B7B70">
              <w:rPr>
                <w:rFonts w:asciiTheme="minorHAnsi" w:hAnsiTheme="minorHAnsi" w:cstheme="minorHAnsi"/>
                <w:b/>
              </w:rPr>
              <w:t>% kobiety</w:t>
            </w:r>
          </w:p>
          <w:p w:rsidR="00526CAB" w:rsidRDefault="00526CAB" w:rsidP="003D76A3">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(zgodnie z Instrukcją wskaźnik 6 kategorii Rynek pracy za 2014 rok przyjął następujące dane referencyjne: województwo – 10,20% bezrobotnych ogółem, powiat przeworski – 11,39% bezrobotnych ogółem</w:t>
            </w:r>
            <w:r w:rsidRPr="003B7B70">
              <w:rPr>
                <w:rFonts w:asciiTheme="minorHAnsi" w:hAnsiTheme="minorHAnsi" w:cstheme="minorHAnsi"/>
              </w:rPr>
              <w:t>)</w:t>
            </w:r>
          </w:p>
          <w:p w:rsidR="00526CAB" w:rsidRPr="00F53351" w:rsidRDefault="00526CAB" w:rsidP="003D76A3">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26CAB">
              <w:rPr>
                <w:rFonts w:asciiTheme="minorHAnsi" w:hAnsiTheme="minorHAnsi" w:cstheme="minorHAnsi"/>
              </w:rPr>
              <w:t>Liczba długotrwale bezrobotnych w % bezrobotnych ogółem</w:t>
            </w:r>
            <w:r>
              <w:rPr>
                <w:rFonts w:asciiTheme="minorHAnsi" w:hAnsiTheme="minorHAnsi" w:cstheme="minorHAnsi"/>
              </w:rPr>
              <w:t xml:space="preserve"> </w:t>
            </w:r>
            <w:r w:rsidRPr="00F53351">
              <w:rPr>
                <w:rFonts w:asciiTheme="minorHAnsi" w:hAnsiTheme="minorHAnsi" w:cstheme="minorHAnsi"/>
                <w:b/>
              </w:rPr>
              <w:t>66,08%</w:t>
            </w:r>
            <w:r w:rsidR="00F53351" w:rsidRPr="00F53351">
              <w:rPr>
                <w:rFonts w:asciiTheme="minorHAnsi" w:hAnsiTheme="minorHAnsi" w:cstheme="minorHAnsi"/>
                <w:b/>
              </w:rPr>
              <w:t xml:space="preserve">., w tym kobiet 79,75% </w:t>
            </w:r>
          </w:p>
          <w:p w:rsidR="00F53351" w:rsidRDefault="00F53351" w:rsidP="00F53351">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 xml:space="preserve">(zgodnie z Instrukcją wskaźnik </w:t>
            </w:r>
            <w:r>
              <w:rPr>
                <w:rFonts w:asciiTheme="minorHAnsi" w:hAnsiTheme="minorHAnsi" w:cstheme="minorHAnsi"/>
                <w:i/>
              </w:rPr>
              <w:t>5</w:t>
            </w:r>
            <w:r w:rsidRPr="003B7B70">
              <w:rPr>
                <w:rFonts w:asciiTheme="minorHAnsi" w:hAnsiTheme="minorHAnsi" w:cstheme="minorHAnsi"/>
                <w:i/>
              </w:rPr>
              <w:t xml:space="preserve"> kategorii Rynek pracy za 2014 rok przyjął następujące dane referencyjne: województwo – </w:t>
            </w:r>
            <w:r>
              <w:rPr>
                <w:rFonts w:asciiTheme="minorHAnsi" w:hAnsiTheme="minorHAnsi" w:cstheme="minorHAnsi"/>
                <w:i/>
              </w:rPr>
              <w:t>6,50</w:t>
            </w:r>
            <w:r w:rsidRPr="003B7B70">
              <w:rPr>
                <w:rFonts w:asciiTheme="minorHAnsi" w:hAnsiTheme="minorHAnsi" w:cstheme="minorHAnsi"/>
                <w:i/>
              </w:rPr>
              <w:t xml:space="preserve">% bezrobotnych ogółem, </w:t>
            </w:r>
            <w:r>
              <w:rPr>
                <w:rFonts w:asciiTheme="minorHAnsi" w:hAnsiTheme="minorHAnsi" w:cstheme="minorHAnsi"/>
                <w:i/>
              </w:rPr>
              <w:t xml:space="preserve">dla porównania </w:t>
            </w:r>
            <w:r w:rsidRPr="003B7B70">
              <w:rPr>
                <w:rFonts w:asciiTheme="minorHAnsi" w:hAnsiTheme="minorHAnsi" w:cstheme="minorHAnsi"/>
                <w:i/>
              </w:rPr>
              <w:t xml:space="preserve">powiat przeworski – </w:t>
            </w:r>
            <w:r>
              <w:rPr>
                <w:rFonts w:asciiTheme="minorHAnsi" w:hAnsiTheme="minorHAnsi" w:cstheme="minorHAnsi"/>
                <w:i/>
              </w:rPr>
              <w:t>42,53</w:t>
            </w:r>
            <w:r w:rsidRPr="003B7B70">
              <w:rPr>
                <w:rFonts w:asciiTheme="minorHAnsi" w:hAnsiTheme="minorHAnsi" w:cstheme="minorHAnsi"/>
                <w:i/>
              </w:rPr>
              <w:t>% bezrobotnych ogółem</w:t>
            </w:r>
            <w:r w:rsidRPr="003B7B70">
              <w:rPr>
                <w:rFonts w:asciiTheme="minorHAnsi" w:hAnsiTheme="minorHAnsi" w:cstheme="minorHAnsi"/>
              </w:rPr>
              <w:t>)</w:t>
            </w:r>
          </w:p>
          <w:p w:rsidR="00F53351" w:rsidRPr="003B7B70" w:rsidRDefault="00F53351" w:rsidP="003D76A3">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26CAB" w:rsidRPr="003B7B70" w:rsidTr="003D76A3">
        <w:tc>
          <w:tcPr>
            <w:cnfStyle w:val="001000000000" w:firstRow="0" w:lastRow="0" w:firstColumn="1" w:lastColumn="0" w:oddVBand="0" w:evenVBand="0" w:oddHBand="0" w:evenHBand="0" w:firstRowFirstColumn="0" w:firstRowLastColumn="0" w:lastRowFirstColumn="0" w:lastRowLastColumn="0"/>
            <w:tcW w:w="2376" w:type="dxa"/>
          </w:tcPr>
          <w:p w:rsidR="00526CAB" w:rsidRPr="003B7B70" w:rsidRDefault="00526CAB" w:rsidP="003D76A3">
            <w:pPr>
              <w:jc w:val="both"/>
              <w:rPr>
                <w:rFonts w:asciiTheme="minorHAnsi" w:hAnsiTheme="minorHAnsi" w:cstheme="minorHAnsi"/>
              </w:rPr>
            </w:pPr>
            <w:r w:rsidRPr="003B7B70">
              <w:rPr>
                <w:rFonts w:asciiTheme="minorHAnsi" w:hAnsiTheme="minorHAnsi" w:cstheme="minorHAnsi"/>
              </w:rPr>
              <w:t>Negatywne zjawiska społeczne - ubóstwo</w:t>
            </w:r>
          </w:p>
        </w:tc>
        <w:tc>
          <w:tcPr>
            <w:tcW w:w="6836" w:type="dxa"/>
          </w:tcPr>
          <w:p w:rsidR="00526CAB" w:rsidRPr="003B7B70" w:rsidRDefault="00526CAB" w:rsidP="003D76A3">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osób korzystających ze świadczeń pomocy społecznej w przeliczeniu na 100 osób wg miejsca zamieszkania – </w:t>
            </w:r>
            <w:r w:rsidR="00F53351">
              <w:rPr>
                <w:rFonts w:asciiTheme="minorHAnsi" w:hAnsiTheme="minorHAnsi" w:cstheme="minorHAnsi"/>
              </w:rPr>
              <w:t>14,8</w:t>
            </w:r>
            <w:r w:rsidRPr="003B7B70">
              <w:rPr>
                <w:rFonts w:asciiTheme="minorHAnsi" w:hAnsiTheme="minorHAnsi" w:cstheme="minorHAnsi"/>
              </w:rPr>
              <w:t xml:space="preserve"> ogółem, </w:t>
            </w:r>
            <w:r w:rsidR="00F53351">
              <w:rPr>
                <w:rFonts w:asciiTheme="minorHAnsi" w:hAnsiTheme="minorHAnsi" w:cstheme="minorHAnsi"/>
              </w:rPr>
              <w:t>14,53</w:t>
            </w:r>
            <w:r w:rsidRPr="003B7B70">
              <w:rPr>
                <w:rFonts w:asciiTheme="minorHAnsi" w:hAnsiTheme="minorHAnsi" w:cstheme="minorHAnsi"/>
              </w:rPr>
              <w:t xml:space="preserve"> mężczyźni, </w:t>
            </w:r>
            <w:r>
              <w:rPr>
                <w:rFonts w:asciiTheme="minorHAnsi" w:hAnsiTheme="minorHAnsi" w:cstheme="minorHAnsi"/>
              </w:rPr>
              <w:t>1</w:t>
            </w:r>
            <w:r w:rsidR="00F53351">
              <w:rPr>
                <w:rFonts w:asciiTheme="minorHAnsi" w:hAnsiTheme="minorHAnsi" w:cstheme="minorHAnsi"/>
              </w:rPr>
              <w:t>5</w:t>
            </w:r>
            <w:r>
              <w:rPr>
                <w:rFonts w:asciiTheme="minorHAnsi" w:hAnsiTheme="minorHAnsi" w:cstheme="minorHAnsi"/>
              </w:rPr>
              <w:t xml:space="preserve">,08 </w:t>
            </w:r>
            <w:r w:rsidRPr="003B7B70">
              <w:rPr>
                <w:rFonts w:asciiTheme="minorHAnsi" w:hAnsiTheme="minorHAnsi" w:cstheme="minorHAnsi"/>
              </w:rPr>
              <w:t>kobiety</w:t>
            </w:r>
          </w:p>
          <w:p w:rsidR="00526CAB" w:rsidRPr="003B7B70" w:rsidRDefault="00526CAB" w:rsidP="003D76A3">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(zgodnie z Instrukcją wskaźnik 8 kategorii Pomoc społeczna za 2014 rok przyjął następujące dane referencyjne: województwo 6,1, powiat przeworski - 12,25 ogółem)</w:t>
            </w:r>
          </w:p>
        </w:tc>
      </w:tr>
      <w:tr w:rsidR="00526CAB" w:rsidRPr="003B7B70" w:rsidTr="003D7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26CAB" w:rsidRPr="003B7B70" w:rsidRDefault="00526CAB" w:rsidP="003D76A3">
            <w:pPr>
              <w:jc w:val="both"/>
              <w:rPr>
                <w:rFonts w:asciiTheme="minorHAnsi" w:hAnsiTheme="minorHAnsi" w:cstheme="minorHAnsi"/>
              </w:rPr>
            </w:pPr>
            <w:r w:rsidRPr="003B7B70">
              <w:rPr>
                <w:rFonts w:asciiTheme="minorHAnsi" w:hAnsiTheme="minorHAnsi" w:cstheme="minorHAnsi"/>
              </w:rPr>
              <w:t>Negatywne zjawiska społeczne - Niekorzystne trendy demograficzne</w:t>
            </w:r>
          </w:p>
        </w:tc>
        <w:tc>
          <w:tcPr>
            <w:tcW w:w="6836" w:type="dxa"/>
          </w:tcPr>
          <w:p w:rsidR="00526CAB" w:rsidRPr="003B7B70" w:rsidRDefault="00526CAB"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Mediana wieku –</w:t>
            </w:r>
            <w:r w:rsidR="00F53351">
              <w:rPr>
                <w:rFonts w:asciiTheme="minorHAnsi" w:hAnsiTheme="minorHAnsi" w:cstheme="minorHAnsi"/>
              </w:rPr>
              <w:t xml:space="preserve"> </w:t>
            </w:r>
            <w:r>
              <w:rPr>
                <w:rFonts w:asciiTheme="minorHAnsi" w:hAnsiTheme="minorHAnsi" w:cstheme="minorHAnsi"/>
                <w:b/>
              </w:rPr>
              <w:t>38,</w:t>
            </w:r>
            <w:r w:rsidR="00F53351">
              <w:rPr>
                <w:rFonts w:asciiTheme="minorHAnsi" w:hAnsiTheme="minorHAnsi" w:cstheme="minorHAnsi"/>
                <w:b/>
              </w:rPr>
              <w:t>09</w:t>
            </w:r>
            <w:r w:rsidRPr="003B7B70">
              <w:rPr>
                <w:rFonts w:asciiTheme="minorHAnsi" w:hAnsiTheme="minorHAnsi" w:cstheme="minorHAnsi"/>
                <w:b/>
              </w:rPr>
              <w:t xml:space="preserve"> kobiety</w:t>
            </w:r>
          </w:p>
          <w:p w:rsidR="00526CAB" w:rsidRPr="003B7B70" w:rsidRDefault="00526CAB"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3 kategorii Demografia za 2014 rok przyjął następujące dane referencyjne: województwo 38)</w:t>
            </w:r>
          </w:p>
          <w:p w:rsidR="00526CAB" w:rsidRPr="003B7B70" w:rsidRDefault="00526CAB"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26CAB" w:rsidRPr="003B7B70" w:rsidTr="003D76A3">
        <w:tc>
          <w:tcPr>
            <w:cnfStyle w:val="001000000000" w:firstRow="0" w:lastRow="0" w:firstColumn="1" w:lastColumn="0" w:oddVBand="0" w:evenVBand="0" w:oddHBand="0" w:evenHBand="0" w:firstRowFirstColumn="0" w:firstRowLastColumn="0" w:lastRowFirstColumn="0" w:lastRowLastColumn="0"/>
            <w:tcW w:w="2376" w:type="dxa"/>
          </w:tcPr>
          <w:p w:rsidR="00526CAB" w:rsidRPr="003B7B70" w:rsidRDefault="00526CAB" w:rsidP="003D76A3">
            <w:pPr>
              <w:jc w:val="both"/>
              <w:rPr>
                <w:rFonts w:asciiTheme="minorHAnsi" w:hAnsiTheme="minorHAnsi" w:cstheme="minorHAnsi"/>
              </w:rPr>
            </w:pPr>
            <w:r w:rsidRPr="003B7B70">
              <w:rPr>
                <w:rFonts w:asciiTheme="minorHAnsi" w:hAnsiTheme="minorHAnsi" w:cstheme="minorHAnsi"/>
              </w:rPr>
              <w:t>Negatywne zjawiska gospodarcze</w:t>
            </w:r>
          </w:p>
        </w:tc>
        <w:tc>
          <w:tcPr>
            <w:tcW w:w="6836" w:type="dxa"/>
          </w:tcPr>
          <w:p w:rsidR="00526CAB" w:rsidRPr="003B7B70" w:rsidRDefault="00526CAB" w:rsidP="003D7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zarejestrowanych podmiotów gospodarczych w rejestrze REGON w przeliczeniu na 100 osób wg faktycznego miejsca zamieszkania – ogółem </w:t>
            </w:r>
            <w:r w:rsidRPr="003B7B70">
              <w:rPr>
                <w:rFonts w:asciiTheme="minorHAnsi" w:hAnsiTheme="minorHAnsi" w:cstheme="minorHAnsi"/>
                <w:b/>
              </w:rPr>
              <w:t xml:space="preserve">– </w:t>
            </w:r>
            <w:r w:rsidR="00F53351">
              <w:rPr>
                <w:rFonts w:asciiTheme="minorHAnsi" w:hAnsiTheme="minorHAnsi" w:cstheme="minorHAnsi"/>
                <w:b/>
              </w:rPr>
              <w:t>4,05</w:t>
            </w:r>
          </w:p>
          <w:p w:rsidR="00526CAB" w:rsidRPr="003B7B70" w:rsidRDefault="00526CAB" w:rsidP="003D7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11 kategorii Podmioty gospodarcze  za 2014 rok przyjął następujące dane referencyjne: województwo 7,6)</w:t>
            </w:r>
          </w:p>
          <w:p w:rsidR="00526CAB" w:rsidRPr="003B7B70" w:rsidRDefault="00526CAB" w:rsidP="003D7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26CAB" w:rsidRPr="003B7B70" w:rsidTr="003D76A3">
        <w:trPr>
          <w:cnfStyle w:val="000000100000" w:firstRow="0" w:lastRow="0" w:firstColumn="0" w:lastColumn="0" w:oddVBand="0" w:evenVBand="0" w:oddHBand="1" w:evenHBand="0" w:firstRowFirstColumn="0" w:firstRowLastColumn="0" w:lastRowFirstColumn="0" w:lastRowLastColumn="0"/>
          <w:trHeight w:val="2480"/>
        </w:trPr>
        <w:tc>
          <w:tcPr>
            <w:cnfStyle w:val="001000000000" w:firstRow="0" w:lastRow="0" w:firstColumn="1" w:lastColumn="0" w:oddVBand="0" w:evenVBand="0" w:oddHBand="0" w:evenHBand="0" w:firstRowFirstColumn="0" w:firstRowLastColumn="0" w:lastRowFirstColumn="0" w:lastRowLastColumn="0"/>
            <w:tcW w:w="2376" w:type="dxa"/>
          </w:tcPr>
          <w:p w:rsidR="00526CAB" w:rsidRPr="003B7B70" w:rsidRDefault="00526CAB" w:rsidP="003D76A3">
            <w:pPr>
              <w:jc w:val="both"/>
              <w:rPr>
                <w:rFonts w:asciiTheme="minorHAnsi" w:hAnsiTheme="minorHAnsi" w:cstheme="minorHAnsi"/>
              </w:rPr>
            </w:pPr>
            <w:r w:rsidRPr="003B7B70">
              <w:rPr>
                <w:rFonts w:asciiTheme="minorHAnsi" w:hAnsiTheme="minorHAnsi" w:cstheme="minorHAnsi"/>
              </w:rPr>
              <w:t>Negatywne zjawiska przestrzenno-funkcjonalne</w:t>
            </w:r>
          </w:p>
        </w:tc>
        <w:tc>
          <w:tcPr>
            <w:tcW w:w="6836" w:type="dxa"/>
          </w:tcPr>
          <w:p w:rsidR="00526CAB" w:rsidRPr="003B7B70" w:rsidRDefault="00526CAB"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niewystarczającej infrastruktury społecznej (zwłaszcza z myślą o seniorach, osobach niepełnosprawnych i  przewlekle chorych – na terenie Gminy nie ma Domów Pomocy Społecznej, Warsztatów Terapii Zajęciowej, Świetlic Socjoterapeutycznych, mieszkań chronionych lub wytchnieniach.</w:t>
            </w:r>
          </w:p>
          <w:p w:rsidR="00526CAB" w:rsidRDefault="00526CAB"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Gmina dysponuje ciekawymi obszarami  - koryta i brzegi rzek, zbiorniki wodne, ścieżki  - do wykorzystania w celach rekreacyjnych, turystycznych i integrujących społeczność lokalną</w:t>
            </w:r>
          </w:p>
          <w:p w:rsidR="00F53351" w:rsidRDefault="00F53351"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Na terenie podobszaru zlokalizowane są tereny poprzemysłowe po byłej fabryce wagonów. W 2015 roku w związku z upadłością fabryki prace straciło około 600 osób. W przypadku uruchomienia działalności przemysłowej na tym terenie przez nowopowstałą spółkę zwiększy się potencjał zatrudnieniowy w gminie.</w:t>
            </w:r>
          </w:p>
          <w:p w:rsidR="003D76A3" w:rsidRPr="003D76A3" w:rsidRDefault="003D76A3"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76A3">
              <w:rPr>
                <w:rFonts w:asciiTheme="minorHAnsi" w:hAnsiTheme="minorHAnsi" w:cstheme="minorHAnsi"/>
              </w:rPr>
              <w:t>Odsetek ludności korzystającej z sieci gazowej</w:t>
            </w:r>
            <w:r>
              <w:rPr>
                <w:rFonts w:asciiTheme="minorHAnsi" w:hAnsiTheme="minorHAnsi" w:cstheme="minorHAnsi"/>
              </w:rPr>
              <w:t xml:space="preserve"> – ogółem 50,92% za 2014 rok</w:t>
            </w:r>
          </w:p>
          <w:p w:rsidR="00526CAB" w:rsidRPr="003B7B70" w:rsidRDefault="003D76A3"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 xml:space="preserve">(zgodnie z Instrukcją wskaźnik </w:t>
            </w:r>
            <w:r w:rsidRPr="003D76A3">
              <w:rPr>
                <w:rFonts w:asciiTheme="minorHAnsi" w:hAnsiTheme="minorHAnsi" w:cstheme="minorHAnsi"/>
                <w:i/>
              </w:rPr>
              <w:t xml:space="preserve">21. Odsetek ludności korzystającej z sieci gazowej, </w:t>
            </w:r>
            <w:r>
              <w:rPr>
                <w:rFonts w:asciiTheme="minorHAnsi" w:hAnsiTheme="minorHAnsi" w:cstheme="minorHAnsi"/>
                <w:i/>
              </w:rPr>
              <w:t xml:space="preserve">w ramach </w:t>
            </w:r>
            <w:r w:rsidRPr="003B7B70">
              <w:rPr>
                <w:rFonts w:asciiTheme="minorHAnsi" w:hAnsiTheme="minorHAnsi" w:cstheme="minorHAnsi"/>
                <w:i/>
              </w:rPr>
              <w:t xml:space="preserve"> kategorii </w:t>
            </w:r>
            <w:r>
              <w:rPr>
                <w:rFonts w:asciiTheme="minorHAnsi" w:hAnsiTheme="minorHAnsi" w:cstheme="minorHAnsi"/>
                <w:i/>
              </w:rPr>
              <w:t>Ochrona Środowiska</w:t>
            </w:r>
            <w:r>
              <w:t xml:space="preserve"> </w:t>
            </w:r>
            <w:r>
              <w:rPr>
                <w:rFonts w:asciiTheme="minorHAnsi" w:hAnsiTheme="minorHAnsi" w:cstheme="minorHAnsi"/>
                <w:i/>
              </w:rPr>
              <w:t>przyjęto</w:t>
            </w:r>
            <w:r w:rsidRPr="003B7B70">
              <w:rPr>
                <w:rFonts w:asciiTheme="minorHAnsi" w:hAnsiTheme="minorHAnsi" w:cstheme="minorHAnsi"/>
                <w:i/>
              </w:rPr>
              <w:t xml:space="preserve"> następujące da</w:t>
            </w:r>
            <w:r>
              <w:rPr>
                <w:rFonts w:asciiTheme="minorHAnsi" w:hAnsiTheme="minorHAnsi" w:cstheme="minorHAnsi"/>
                <w:i/>
              </w:rPr>
              <w:t xml:space="preserve">ne referencyjne: województwa </w:t>
            </w:r>
            <w:r w:rsidRPr="003D76A3">
              <w:rPr>
                <w:rFonts w:asciiTheme="minorHAnsi" w:hAnsiTheme="minorHAnsi" w:cstheme="minorHAnsi"/>
                <w:i/>
              </w:rPr>
              <w:t>72,5% wszystkich gospodarstw</w:t>
            </w:r>
            <w:r w:rsidRPr="003B7B70">
              <w:rPr>
                <w:rFonts w:asciiTheme="minorHAnsi" w:hAnsiTheme="minorHAnsi" w:cstheme="minorHAnsi"/>
                <w:i/>
              </w:rPr>
              <w:t>)</w:t>
            </w:r>
          </w:p>
        </w:tc>
      </w:tr>
      <w:tr w:rsidR="003D76A3" w:rsidRPr="003B7B70" w:rsidTr="003D76A3">
        <w:trPr>
          <w:trHeight w:val="1417"/>
        </w:trPr>
        <w:tc>
          <w:tcPr>
            <w:cnfStyle w:val="001000000000" w:firstRow="0" w:lastRow="0" w:firstColumn="1" w:lastColumn="0" w:oddVBand="0" w:evenVBand="0" w:oddHBand="0" w:evenHBand="0" w:firstRowFirstColumn="0" w:firstRowLastColumn="0" w:lastRowFirstColumn="0" w:lastRowLastColumn="0"/>
            <w:tcW w:w="2376" w:type="dxa"/>
          </w:tcPr>
          <w:p w:rsidR="003D76A3" w:rsidRPr="003B7B70" w:rsidRDefault="003D76A3" w:rsidP="003D76A3">
            <w:pPr>
              <w:jc w:val="both"/>
              <w:rPr>
                <w:rFonts w:cstheme="minorHAnsi"/>
              </w:rPr>
            </w:pPr>
            <w:r>
              <w:rPr>
                <w:rFonts w:cstheme="minorHAnsi"/>
              </w:rPr>
              <w:lastRenderedPageBreak/>
              <w:t>Negatywne zjawiska środowiskowe</w:t>
            </w:r>
          </w:p>
        </w:tc>
        <w:tc>
          <w:tcPr>
            <w:tcW w:w="6836" w:type="dxa"/>
          </w:tcPr>
          <w:p w:rsidR="003D76A3" w:rsidRDefault="003D76A3" w:rsidP="003D7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Wysoki udział CO2 pochodzącego ze spalania w paleniskach domowych – więcej opisano w Planie Gospodarki Niskoemisyjnej Gminy Tryńcza.</w:t>
            </w:r>
          </w:p>
          <w:p w:rsidR="003D76A3" w:rsidRPr="003D76A3" w:rsidRDefault="003D76A3" w:rsidP="003D7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D76A3">
              <w:rPr>
                <w:rFonts w:asciiTheme="minorHAnsi" w:hAnsiTheme="minorHAnsi" w:cstheme="minorHAnsi"/>
              </w:rPr>
              <w:t>Odsetek ludności korzystającej z sieci gazowej</w:t>
            </w:r>
            <w:r>
              <w:rPr>
                <w:rFonts w:asciiTheme="minorHAnsi" w:hAnsiTheme="minorHAnsi" w:cstheme="minorHAnsi"/>
              </w:rPr>
              <w:t xml:space="preserve"> – ogółem 50,92% za 2014 rok</w:t>
            </w:r>
          </w:p>
          <w:p w:rsidR="003D76A3" w:rsidRPr="003B7B70" w:rsidRDefault="003D76A3" w:rsidP="003D76A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B7B70">
              <w:rPr>
                <w:rFonts w:asciiTheme="minorHAnsi" w:hAnsiTheme="minorHAnsi" w:cstheme="minorHAnsi"/>
                <w:i/>
              </w:rPr>
              <w:t xml:space="preserve">(zgodnie z Instrukcją wskaźnik </w:t>
            </w:r>
            <w:r w:rsidRPr="003D76A3">
              <w:rPr>
                <w:rFonts w:asciiTheme="minorHAnsi" w:hAnsiTheme="minorHAnsi" w:cstheme="minorHAnsi"/>
                <w:i/>
              </w:rPr>
              <w:t xml:space="preserve">21. Odsetek ludności korzystającej z sieci gazowej, </w:t>
            </w:r>
            <w:r>
              <w:rPr>
                <w:rFonts w:asciiTheme="minorHAnsi" w:hAnsiTheme="minorHAnsi" w:cstheme="minorHAnsi"/>
                <w:i/>
              </w:rPr>
              <w:t xml:space="preserve">w ramach </w:t>
            </w:r>
            <w:r w:rsidRPr="003B7B70">
              <w:rPr>
                <w:rFonts w:asciiTheme="minorHAnsi" w:hAnsiTheme="minorHAnsi" w:cstheme="minorHAnsi"/>
                <w:i/>
              </w:rPr>
              <w:t xml:space="preserve"> kategorii </w:t>
            </w:r>
            <w:r>
              <w:rPr>
                <w:rFonts w:asciiTheme="minorHAnsi" w:hAnsiTheme="minorHAnsi" w:cstheme="minorHAnsi"/>
                <w:i/>
              </w:rPr>
              <w:t>Ochrona Środowiska</w:t>
            </w:r>
            <w:r>
              <w:t xml:space="preserve"> </w:t>
            </w:r>
            <w:r>
              <w:rPr>
                <w:rFonts w:asciiTheme="minorHAnsi" w:hAnsiTheme="minorHAnsi" w:cstheme="minorHAnsi"/>
                <w:i/>
              </w:rPr>
              <w:t>przyjęto</w:t>
            </w:r>
            <w:r w:rsidRPr="003B7B70">
              <w:rPr>
                <w:rFonts w:asciiTheme="minorHAnsi" w:hAnsiTheme="minorHAnsi" w:cstheme="minorHAnsi"/>
                <w:i/>
              </w:rPr>
              <w:t xml:space="preserve"> następujące da</w:t>
            </w:r>
            <w:r>
              <w:rPr>
                <w:rFonts w:asciiTheme="minorHAnsi" w:hAnsiTheme="minorHAnsi" w:cstheme="minorHAnsi"/>
                <w:i/>
              </w:rPr>
              <w:t xml:space="preserve">ne referencyjne: województwa </w:t>
            </w:r>
            <w:r w:rsidRPr="003D76A3">
              <w:rPr>
                <w:rFonts w:asciiTheme="minorHAnsi" w:hAnsiTheme="minorHAnsi" w:cstheme="minorHAnsi"/>
                <w:i/>
              </w:rPr>
              <w:t>72,5% wszystkich gospodarstw</w:t>
            </w:r>
          </w:p>
        </w:tc>
      </w:tr>
      <w:tr w:rsidR="003D76A3" w:rsidRPr="003B7B70" w:rsidTr="003D7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D76A3" w:rsidRPr="003B7B70" w:rsidRDefault="003D76A3" w:rsidP="003D76A3">
            <w:pPr>
              <w:jc w:val="both"/>
              <w:rPr>
                <w:rFonts w:asciiTheme="minorHAnsi" w:hAnsiTheme="minorHAnsi" w:cstheme="minorHAnsi"/>
              </w:rPr>
            </w:pPr>
            <w:r w:rsidRPr="003B7B70">
              <w:rPr>
                <w:rFonts w:asciiTheme="minorHAnsi" w:hAnsiTheme="minorHAnsi" w:cstheme="minorHAnsi"/>
              </w:rPr>
              <w:t>Niewystarczający udział partycypacji społecznej – niskie zaangażowanie mieszkańców w sprawy gminne</w:t>
            </w:r>
          </w:p>
        </w:tc>
        <w:tc>
          <w:tcPr>
            <w:tcW w:w="6836" w:type="dxa"/>
          </w:tcPr>
          <w:p w:rsidR="003D76A3" w:rsidRPr="003B7B70" w:rsidRDefault="003D76A3"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organizacji pozarządowych na 100 osób wg miejsca zamieszkania – </w:t>
            </w:r>
            <w:r w:rsidRPr="003B7B70">
              <w:rPr>
                <w:rFonts w:asciiTheme="minorHAnsi" w:hAnsiTheme="minorHAnsi" w:cstheme="minorHAnsi"/>
                <w:b/>
              </w:rPr>
              <w:t>0,</w:t>
            </w:r>
            <w:r>
              <w:rPr>
                <w:rFonts w:asciiTheme="minorHAnsi" w:hAnsiTheme="minorHAnsi" w:cstheme="minorHAnsi"/>
                <w:b/>
              </w:rPr>
              <w:t>14</w:t>
            </w:r>
          </w:p>
          <w:p w:rsidR="003D76A3" w:rsidRPr="003B7B70" w:rsidRDefault="003D76A3"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19 kategorii Integracja Społeczna  za 2013 rok przyjął następujące dane referencyjne: województwo 0,33)</w:t>
            </w:r>
          </w:p>
          <w:p w:rsidR="003D76A3" w:rsidRPr="003B7B70" w:rsidRDefault="003D76A3"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rsidR="00985B15" w:rsidRDefault="00985B15" w:rsidP="00985B15">
      <w:pPr>
        <w:pStyle w:val="Legenda"/>
      </w:pPr>
      <w:r>
        <w:t>Źródło: Opracowanie własne</w:t>
      </w:r>
    </w:p>
    <w:p w:rsidR="003B7B70" w:rsidRDefault="003B7B70" w:rsidP="003B7B70">
      <w:pPr>
        <w:jc w:val="both"/>
      </w:pPr>
    </w:p>
    <w:p w:rsidR="003B7B70" w:rsidRDefault="003B7B70" w:rsidP="003B7B70">
      <w:pPr>
        <w:pStyle w:val="Nagwek2"/>
      </w:pPr>
      <w:bookmarkStart w:id="119" w:name="_Toc496558095"/>
      <w:r>
        <w:t>Podobszar Jagiełła</w:t>
      </w:r>
      <w:bookmarkEnd w:id="119"/>
      <w:r>
        <w:t xml:space="preserve"> </w:t>
      </w:r>
    </w:p>
    <w:p w:rsidR="00985B15" w:rsidRDefault="00985B15" w:rsidP="00985B15">
      <w:pPr>
        <w:jc w:val="both"/>
      </w:pPr>
      <w:r>
        <w:t xml:space="preserve">Obszar spełnia wymagania art. 9 ust. 1 o rewitalizacji i minimum cztery kryteria Instrukcji </w:t>
      </w:r>
      <w:r w:rsidRPr="007C3562">
        <w:rPr>
          <w:i/>
        </w:rPr>
        <w:t>przygotowania programów rewitalizacji w zakresie wsparcia w</w:t>
      </w:r>
      <w:r>
        <w:rPr>
          <w:i/>
        </w:rPr>
        <w:t> </w:t>
      </w:r>
      <w:r w:rsidRPr="007C3562">
        <w:rPr>
          <w:i/>
        </w:rPr>
        <w:t>ramach Regionalnego Programu Operacyjnego Województwa Podkarpackiego na lata 2014-2020</w:t>
      </w:r>
    </w:p>
    <w:tbl>
      <w:tblPr>
        <w:tblStyle w:val="Tabelasiatki5ciemnaakcent32"/>
        <w:tblW w:w="0" w:type="auto"/>
        <w:tblLook w:val="04A0" w:firstRow="1" w:lastRow="0" w:firstColumn="1" w:lastColumn="0" w:noHBand="0" w:noVBand="1"/>
      </w:tblPr>
      <w:tblGrid>
        <w:gridCol w:w="2376"/>
        <w:gridCol w:w="6836"/>
      </w:tblGrid>
      <w:tr w:rsidR="00F53351" w:rsidRPr="003B7B70" w:rsidTr="003D76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53351" w:rsidRPr="003B7B70" w:rsidRDefault="00F53351" w:rsidP="003D76A3">
            <w:pPr>
              <w:jc w:val="both"/>
              <w:rPr>
                <w:rFonts w:asciiTheme="minorHAnsi" w:hAnsiTheme="minorHAnsi" w:cstheme="minorHAnsi"/>
              </w:rPr>
            </w:pPr>
            <w:r w:rsidRPr="003B7B70">
              <w:rPr>
                <w:rFonts w:asciiTheme="minorHAnsi" w:hAnsiTheme="minorHAnsi" w:cstheme="minorHAnsi"/>
              </w:rPr>
              <w:t>Kryterium delimitacji</w:t>
            </w:r>
          </w:p>
        </w:tc>
        <w:tc>
          <w:tcPr>
            <w:tcW w:w="6836" w:type="dxa"/>
          </w:tcPr>
          <w:p w:rsidR="00F53351" w:rsidRPr="003B7B70" w:rsidRDefault="00F53351" w:rsidP="003D76A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Nazwa wskaźnika i jego wartość</w:t>
            </w:r>
          </w:p>
        </w:tc>
      </w:tr>
      <w:tr w:rsidR="00F53351" w:rsidRPr="003B7B70" w:rsidTr="003D7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53351" w:rsidRPr="003B7B70" w:rsidRDefault="00F53351" w:rsidP="003D76A3">
            <w:pPr>
              <w:jc w:val="both"/>
              <w:rPr>
                <w:rFonts w:asciiTheme="minorHAnsi" w:hAnsiTheme="minorHAnsi" w:cstheme="minorHAnsi"/>
              </w:rPr>
            </w:pPr>
            <w:r w:rsidRPr="003B7B70">
              <w:rPr>
                <w:rFonts w:asciiTheme="minorHAnsi" w:hAnsiTheme="minorHAnsi" w:cstheme="minorHAnsi"/>
              </w:rPr>
              <w:t>Powierzchnia obszaru</w:t>
            </w:r>
          </w:p>
        </w:tc>
        <w:tc>
          <w:tcPr>
            <w:tcW w:w="6836" w:type="dxa"/>
          </w:tcPr>
          <w:p w:rsidR="00F53351" w:rsidRPr="003B7B70" w:rsidRDefault="00F53351"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3351">
              <w:rPr>
                <w:rFonts w:asciiTheme="minorHAnsi" w:hAnsiTheme="minorHAnsi" w:cstheme="minorHAnsi"/>
              </w:rPr>
              <w:t>98,9 ha</w:t>
            </w:r>
          </w:p>
        </w:tc>
      </w:tr>
      <w:tr w:rsidR="00F53351" w:rsidRPr="003B7B70" w:rsidTr="003D76A3">
        <w:tc>
          <w:tcPr>
            <w:cnfStyle w:val="001000000000" w:firstRow="0" w:lastRow="0" w:firstColumn="1" w:lastColumn="0" w:oddVBand="0" w:evenVBand="0" w:oddHBand="0" w:evenHBand="0" w:firstRowFirstColumn="0" w:firstRowLastColumn="0" w:lastRowFirstColumn="0" w:lastRowLastColumn="0"/>
            <w:tcW w:w="2376" w:type="dxa"/>
          </w:tcPr>
          <w:p w:rsidR="00F53351" w:rsidRPr="003B7B70" w:rsidRDefault="00F53351" w:rsidP="003D76A3">
            <w:pPr>
              <w:jc w:val="both"/>
              <w:rPr>
                <w:rFonts w:asciiTheme="minorHAnsi" w:hAnsiTheme="minorHAnsi" w:cstheme="minorHAnsi"/>
              </w:rPr>
            </w:pPr>
            <w:r w:rsidRPr="003B7B70">
              <w:rPr>
                <w:rFonts w:asciiTheme="minorHAnsi" w:hAnsiTheme="minorHAnsi" w:cstheme="minorHAnsi"/>
              </w:rPr>
              <w:t>Mieszkańcy obszaru</w:t>
            </w:r>
          </w:p>
        </w:tc>
        <w:tc>
          <w:tcPr>
            <w:tcW w:w="6836" w:type="dxa"/>
          </w:tcPr>
          <w:p w:rsidR="00F53351" w:rsidRPr="003B7B70" w:rsidRDefault="00F53351" w:rsidP="00F5335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522 osoby</w:t>
            </w:r>
          </w:p>
        </w:tc>
      </w:tr>
      <w:tr w:rsidR="00F53351" w:rsidRPr="003B7B70" w:rsidTr="003D7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53351" w:rsidRPr="003B7B70" w:rsidRDefault="00F53351" w:rsidP="003D76A3">
            <w:pPr>
              <w:jc w:val="both"/>
              <w:rPr>
                <w:rFonts w:asciiTheme="minorHAnsi" w:hAnsiTheme="minorHAnsi" w:cstheme="minorHAnsi"/>
              </w:rPr>
            </w:pPr>
            <w:r w:rsidRPr="003B7B70">
              <w:rPr>
                <w:rFonts w:asciiTheme="minorHAnsi" w:hAnsiTheme="minorHAnsi" w:cstheme="minorHAnsi"/>
              </w:rPr>
              <w:t>Negatywne zjawiska społeczne - bezrobocie</w:t>
            </w:r>
          </w:p>
        </w:tc>
        <w:tc>
          <w:tcPr>
            <w:tcW w:w="6836" w:type="dxa"/>
          </w:tcPr>
          <w:p w:rsidR="00F53351" w:rsidRPr="003B7B70" w:rsidRDefault="00F53351" w:rsidP="003D76A3">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Udział bezrobotnych zarejestrowanych w liczbie ludności w wieku produkcyjnym wg miejsca zamieszkania – </w:t>
            </w:r>
            <w:r>
              <w:rPr>
                <w:rFonts w:asciiTheme="minorHAnsi" w:hAnsiTheme="minorHAnsi" w:cstheme="minorHAnsi"/>
                <w:b/>
              </w:rPr>
              <w:t>15,647</w:t>
            </w:r>
            <w:r w:rsidRPr="003B7B70">
              <w:rPr>
                <w:rFonts w:asciiTheme="minorHAnsi" w:hAnsiTheme="minorHAnsi" w:cstheme="minorHAnsi"/>
                <w:b/>
              </w:rPr>
              <w:t xml:space="preserve">% ogółem, </w:t>
            </w:r>
            <w:r>
              <w:rPr>
                <w:rFonts w:asciiTheme="minorHAnsi" w:hAnsiTheme="minorHAnsi" w:cstheme="minorHAnsi"/>
                <w:b/>
              </w:rPr>
              <w:t>15,54</w:t>
            </w:r>
            <w:r w:rsidRPr="003B7B70">
              <w:rPr>
                <w:rFonts w:asciiTheme="minorHAnsi" w:hAnsiTheme="minorHAnsi" w:cstheme="minorHAnsi"/>
                <w:b/>
              </w:rPr>
              <w:t xml:space="preserve">% mężczyźni, </w:t>
            </w:r>
            <w:r>
              <w:rPr>
                <w:rFonts w:asciiTheme="minorHAnsi" w:hAnsiTheme="minorHAnsi" w:cstheme="minorHAnsi"/>
                <w:b/>
              </w:rPr>
              <w:t>15,76</w:t>
            </w:r>
            <w:r w:rsidRPr="003B7B70">
              <w:rPr>
                <w:rFonts w:asciiTheme="minorHAnsi" w:hAnsiTheme="minorHAnsi" w:cstheme="minorHAnsi"/>
                <w:b/>
              </w:rPr>
              <w:t>% kobiety</w:t>
            </w:r>
          </w:p>
          <w:p w:rsidR="00F53351" w:rsidRDefault="00F53351" w:rsidP="003D76A3">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(zgodnie z Instrukcją wskaźnik 6 kategorii Rynek pracy za 2014 rok przyjął następujące dane referencyjne: województwo – 10,20% bezrobotnych ogółem, powiat przeworski – 11,39% bezrobotnych ogółem</w:t>
            </w:r>
            <w:r w:rsidRPr="003B7B70">
              <w:rPr>
                <w:rFonts w:asciiTheme="minorHAnsi" w:hAnsiTheme="minorHAnsi" w:cstheme="minorHAnsi"/>
              </w:rPr>
              <w:t>)</w:t>
            </w:r>
          </w:p>
          <w:p w:rsidR="00F53351" w:rsidRPr="003B7B70" w:rsidRDefault="00F53351" w:rsidP="00F53351">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53351" w:rsidRPr="003B7B70" w:rsidTr="003D76A3">
        <w:tc>
          <w:tcPr>
            <w:cnfStyle w:val="001000000000" w:firstRow="0" w:lastRow="0" w:firstColumn="1" w:lastColumn="0" w:oddVBand="0" w:evenVBand="0" w:oddHBand="0" w:evenHBand="0" w:firstRowFirstColumn="0" w:firstRowLastColumn="0" w:lastRowFirstColumn="0" w:lastRowLastColumn="0"/>
            <w:tcW w:w="2376" w:type="dxa"/>
          </w:tcPr>
          <w:p w:rsidR="00F53351" w:rsidRPr="003B7B70" w:rsidRDefault="00F53351" w:rsidP="003D76A3">
            <w:pPr>
              <w:jc w:val="both"/>
              <w:rPr>
                <w:rFonts w:asciiTheme="minorHAnsi" w:hAnsiTheme="minorHAnsi" w:cstheme="minorHAnsi"/>
              </w:rPr>
            </w:pPr>
            <w:r w:rsidRPr="003B7B70">
              <w:rPr>
                <w:rFonts w:asciiTheme="minorHAnsi" w:hAnsiTheme="minorHAnsi" w:cstheme="minorHAnsi"/>
              </w:rPr>
              <w:t>Negatywne zjawiska społeczne - ubóstwo</w:t>
            </w:r>
          </w:p>
        </w:tc>
        <w:tc>
          <w:tcPr>
            <w:tcW w:w="6836" w:type="dxa"/>
          </w:tcPr>
          <w:p w:rsidR="00F53351" w:rsidRPr="003B7B70" w:rsidRDefault="00F53351" w:rsidP="003D76A3">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osób korzystających ze świadczeń pomocy społecznej w przeliczeniu na 100 osób wg miejsca zamieszkania – </w:t>
            </w:r>
            <w:r>
              <w:rPr>
                <w:rFonts w:asciiTheme="minorHAnsi" w:hAnsiTheme="minorHAnsi" w:cstheme="minorHAnsi"/>
              </w:rPr>
              <w:t>23,1</w:t>
            </w:r>
            <w:r w:rsidRPr="003B7B70">
              <w:rPr>
                <w:rFonts w:asciiTheme="minorHAnsi" w:hAnsiTheme="minorHAnsi" w:cstheme="minorHAnsi"/>
              </w:rPr>
              <w:t xml:space="preserve"> ogółem, </w:t>
            </w:r>
            <w:r>
              <w:rPr>
                <w:rFonts w:asciiTheme="minorHAnsi" w:hAnsiTheme="minorHAnsi" w:cstheme="minorHAnsi"/>
              </w:rPr>
              <w:t>24,2</w:t>
            </w:r>
            <w:r w:rsidRPr="003B7B70">
              <w:rPr>
                <w:rFonts w:asciiTheme="minorHAnsi" w:hAnsiTheme="minorHAnsi" w:cstheme="minorHAnsi"/>
              </w:rPr>
              <w:t xml:space="preserve"> mężczyźni, </w:t>
            </w:r>
            <w:r>
              <w:rPr>
                <w:rFonts w:asciiTheme="minorHAnsi" w:hAnsiTheme="minorHAnsi" w:cstheme="minorHAnsi"/>
              </w:rPr>
              <w:t xml:space="preserve">22 </w:t>
            </w:r>
            <w:r w:rsidRPr="003B7B70">
              <w:rPr>
                <w:rFonts w:asciiTheme="minorHAnsi" w:hAnsiTheme="minorHAnsi" w:cstheme="minorHAnsi"/>
              </w:rPr>
              <w:t>kobiety</w:t>
            </w:r>
          </w:p>
          <w:p w:rsidR="00F53351" w:rsidRPr="003B7B70" w:rsidRDefault="00F53351" w:rsidP="003D76A3">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(zgodnie z Instrukcją wskaźnik 8 kategorii Pomoc społeczna za 2014 rok przyjął następujące dane referencyjne: województwo 6,1, powiat przeworski - 12,25 ogółem)</w:t>
            </w:r>
          </w:p>
        </w:tc>
      </w:tr>
      <w:tr w:rsidR="00F53351" w:rsidRPr="003B7B70" w:rsidTr="003D7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53351" w:rsidRPr="003B7B70" w:rsidRDefault="00F53351" w:rsidP="003D76A3">
            <w:pPr>
              <w:jc w:val="both"/>
              <w:rPr>
                <w:rFonts w:asciiTheme="minorHAnsi" w:hAnsiTheme="minorHAnsi" w:cstheme="minorHAnsi"/>
              </w:rPr>
            </w:pPr>
            <w:r w:rsidRPr="003B7B70">
              <w:rPr>
                <w:rFonts w:asciiTheme="minorHAnsi" w:hAnsiTheme="minorHAnsi" w:cstheme="minorHAnsi"/>
              </w:rPr>
              <w:t>Negatywne zjawiska społeczne - Niekorzystne trendy demograficzne</w:t>
            </w:r>
          </w:p>
        </w:tc>
        <w:tc>
          <w:tcPr>
            <w:tcW w:w="6836" w:type="dxa"/>
          </w:tcPr>
          <w:p w:rsidR="00F53351" w:rsidRPr="003B7B70" w:rsidRDefault="00F53351" w:rsidP="00F5335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53351" w:rsidRPr="003B7B70" w:rsidTr="003D76A3">
        <w:tc>
          <w:tcPr>
            <w:cnfStyle w:val="001000000000" w:firstRow="0" w:lastRow="0" w:firstColumn="1" w:lastColumn="0" w:oddVBand="0" w:evenVBand="0" w:oddHBand="0" w:evenHBand="0" w:firstRowFirstColumn="0" w:firstRowLastColumn="0" w:lastRowFirstColumn="0" w:lastRowLastColumn="0"/>
            <w:tcW w:w="2376" w:type="dxa"/>
          </w:tcPr>
          <w:p w:rsidR="00F53351" w:rsidRPr="003B7B70" w:rsidRDefault="00F53351" w:rsidP="003D76A3">
            <w:pPr>
              <w:jc w:val="both"/>
              <w:rPr>
                <w:rFonts w:asciiTheme="minorHAnsi" w:hAnsiTheme="minorHAnsi" w:cstheme="minorHAnsi"/>
              </w:rPr>
            </w:pPr>
            <w:r w:rsidRPr="003B7B70">
              <w:rPr>
                <w:rFonts w:asciiTheme="minorHAnsi" w:hAnsiTheme="minorHAnsi" w:cstheme="minorHAnsi"/>
              </w:rPr>
              <w:t>Negatywne zjawiska gospodarcze</w:t>
            </w:r>
          </w:p>
        </w:tc>
        <w:tc>
          <w:tcPr>
            <w:tcW w:w="6836" w:type="dxa"/>
          </w:tcPr>
          <w:p w:rsidR="00F53351" w:rsidRPr="003B7B70" w:rsidRDefault="00F53351" w:rsidP="003D7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zarejestrowanych podmiotów gospodarczych w rejestrze REGON w przeliczeniu na 100 osób wg faktycznego miejsca zamieszkania – ogółem </w:t>
            </w:r>
            <w:r w:rsidRPr="003B7B70">
              <w:rPr>
                <w:rFonts w:asciiTheme="minorHAnsi" w:hAnsiTheme="minorHAnsi" w:cstheme="minorHAnsi"/>
                <w:b/>
              </w:rPr>
              <w:t xml:space="preserve">– </w:t>
            </w:r>
            <w:r w:rsidR="00985B15">
              <w:rPr>
                <w:rFonts w:asciiTheme="minorHAnsi" w:hAnsiTheme="minorHAnsi" w:cstheme="minorHAnsi"/>
                <w:b/>
              </w:rPr>
              <w:t>1,96</w:t>
            </w:r>
          </w:p>
          <w:p w:rsidR="00F53351" w:rsidRPr="003B7B70" w:rsidRDefault="00F53351" w:rsidP="003D7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11 kategorii Podmioty gospodarcze  za 2014 rok przyjął następujące dane referencyjne: województwo 7,6)</w:t>
            </w:r>
          </w:p>
          <w:p w:rsidR="00F53351" w:rsidRPr="003B7B70" w:rsidRDefault="00F53351" w:rsidP="003D7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F53351" w:rsidRPr="003B7B70" w:rsidTr="00985B15">
        <w:trPr>
          <w:cnfStyle w:val="000000100000" w:firstRow="0" w:lastRow="0" w:firstColumn="0" w:lastColumn="0" w:oddVBand="0" w:evenVBand="0" w:oddHBand="1" w:evenHBand="0" w:firstRowFirstColumn="0" w:firstRowLastColumn="0" w:lastRowFirstColumn="0" w:lastRowLastColumn="0"/>
          <w:trHeight w:val="1824"/>
        </w:trPr>
        <w:tc>
          <w:tcPr>
            <w:cnfStyle w:val="001000000000" w:firstRow="0" w:lastRow="0" w:firstColumn="1" w:lastColumn="0" w:oddVBand="0" w:evenVBand="0" w:oddHBand="0" w:evenHBand="0" w:firstRowFirstColumn="0" w:firstRowLastColumn="0" w:lastRowFirstColumn="0" w:lastRowLastColumn="0"/>
            <w:tcW w:w="2376" w:type="dxa"/>
          </w:tcPr>
          <w:p w:rsidR="00F53351" w:rsidRPr="003B7B70" w:rsidRDefault="00F53351" w:rsidP="003D76A3">
            <w:pPr>
              <w:jc w:val="both"/>
              <w:rPr>
                <w:rFonts w:asciiTheme="minorHAnsi" w:hAnsiTheme="minorHAnsi" w:cstheme="minorHAnsi"/>
              </w:rPr>
            </w:pPr>
            <w:r w:rsidRPr="003B7B70">
              <w:rPr>
                <w:rFonts w:asciiTheme="minorHAnsi" w:hAnsiTheme="minorHAnsi" w:cstheme="minorHAnsi"/>
              </w:rPr>
              <w:t>Negatywne zjawiska przestrzenno-funkcjonalne</w:t>
            </w:r>
          </w:p>
        </w:tc>
        <w:tc>
          <w:tcPr>
            <w:tcW w:w="6836" w:type="dxa"/>
          </w:tcPr>
          <w:p w:rsidR="00F53351" w:rsidRPr="003B7B70" w:rsidRDefault="00F53351"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niewystarczającej infrastruktury społecznej (zwłaszcza z myślą o seniorach, osobach niepełnosprawnych i  przewlekle chorych – na terenie Gminy nie ma Domów Pomocy Społecznej, Warsztatów Terapii Zajęciowej, Świetlic Socjoterapeutycznych, mieszkań chronionych lub wytchnieniach.</w:t>
            </w:r>
          </w:p>
          <w:p w:rsidR="00F53351" w:rsidRDefault="00F53351" w:rsidP="00985B1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Gmina dysponuje ciekawymi obszarami  - koryta i brzegi rzek, zbiorniki wodne, ścieżki  - do wykorzystania w celach rekreacyjnych, turystycznych i integrujących społeczność lokalną</w:t>
            </w:r>
          </w:p>
          <w:p w:rsidR="003D76A3" w:rsidRPr="003B7B70" w:rsidRDefault="003D76A3"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3D76A3" w:rsidRPr="003B7B70" w:rsidTr="003D76A3">
        <w:trPr>
          <w:trHeight w:val="1559"/>
        </w:trPr>
        <w:tc>
          <w:tcPr>
            <w:cnfStyle w:val="001000000000" w:firstRow="0" w:lastRow="0" w:firstColumn="1" w:lastColumn="0" w:oddVBand="0" w:evenVBand="0" w:oddHBand="0" w:evenHBand="0" w:firstRowFirstColumn="0" w:firstRowLastColumn="0" w:lastRowFirstColumn="0" w:lastRowLastColumn="0"/>
            <w:tcW w:w="2376" w:type="dxa"/>
          </w:tcPr>
          <w:p w:rsidR="003D76A3" w:rsidRPr="003B7B70" w:rsidRDefault="003D76A3" w:rsidP="003D76A3">
            <w:pPr>
              <w:jc w:val="both"/>
              <w:rPr>
                <w:rFonts w:cstheme="minorHAnsi"/>
              </w:rPr>
            </w:pPr>
            <w:r>
              <w:rPr>
                <w:rFonts w:cstheme="minorHAnsi"/>
              </w:rPr>
              <w:lastRenderedPageBreak/>
              <w:t>Negatywne zjawiska środowiskowe</w:t>
            </w:r>
          </w:p>
        </w:tc>
        <w:tc>
          <w:tcPr>
            <w:tcW w:w="6836" w:type="dxa"/>
          </w:tcPr>
          <w:p w:rsidR="003D76A3" w:rsidRDefault="003D76A3" w:rsidP="003D7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Wysoki udział CO</w:t>
            </w:r>
            <w:r w:rsidRPr="00205688">
              <w:rPr>
                <w:rFonts w:asciiTheme="minorHAnsi" w:hAnsiTheme="minorHAnsi" w:cstheme="minorHAnsi"/>
                <w:vertAlign w:val="subscript"/>
              </w:rPr>
              <w:t>2</w:t>
            </w:r>
            <w:r>
              <w:rPr>
                <w:rFonts w:asciiTheme="minorHAnsi" w:hAnsiTheme="minorHAnsi" w:cstheme="minorHAnsi"/>
              </w:rPr>
              <w:t xml:space="preserve"> pochodzącego ze spalania w paleniskach domowych – więcej opisano w Planie Gospodarki Niskoemisyjnej Gminy Tryńcza.</w:t>
            </w:r>
          </w:p>
          <w:p w:rsidR="003D76A3" w:rsidRPr="003D76A3" w:rsidRDefault="003D76A3" w:rsidP="003D76A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D76A3">
              <w:rPr>
                <w:rFonts w:asciiTheme="minorHAnsi" w:hAnsiTheme="minorHAnsi" w:cstheme="minorHAnsi"/>
              </w:rPr>
              <w:t>Odsetek ludności korzystającej z sieci gazowej</w:t>
            </w:r>
            <w:r>
              <w:rPr>
                <w:rFonts w:asciiTheme="minorHAnsi" w:hAnsiTheme="minorHAnsi" w:cstheme="minorHAnsi"/>
              </w:rPr>
              <w:t xml:space="preserve"> – ogółem 50,92% za 2014 rok</w:t>
            </w:r>
          </w:p>
          <w:p w:rsidR="003D76A3" w:rsidRPr="003B7B70" w:rsidRDefault="003D76A3" w:rsidP="003D76A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B7B70">
              <w:rPr>
                <w:rFonts w:asciiTheme="minorHAnsi" w:hAnsiTheme="minorHAnsi" w:cstheme="minorHAnsi"/>
                <w:i/>
              </w:rPr>
              <w:t xml:space="preserve">(zgodnie z Instrukcją wskaźnik </w:t>
            </w:r>
            <w:r w:rsidRPr="003D76A3">
              <w:rPr>
                <w:rFonts w:asciiTheme="minorHAnsi" w:hAnsiTheme="minorHAnsi" w:cstheme="minorHAnsi"/>
                <w:i/>
              </w:rPr>
              <w:t xml:space="preserve">21. Odsetek ludności korzystającej z sieci gazowej, </w:t>
            </w:r>
            <w:r>
              <w:rPr>
                <w:rFonts w:asciiTheme="minorHAnsi" w:hAnsiTheme="minorHAnsi" w:cstheme="minorHAnsi"/>
                <w:i/>
              </w:rPr>
              <w:t xml:space="preserve">w ramach </w:t>
            </w:r>
            <w:r w:rsidRPr="003B7B70">
              <w:rPr>
                <w:rFonts w:asciiTheme="minorHAnsi" w:hAnsiTheme="minorHAnsi" w:cstheme="minorHAnsi"/>
                <w:i/>
              </w:rPr>
              <w:t xml:space="preserve"> kategorii </w:t>
            </w:r>
            <w:r>
              <w:rPr>
                <w:rFonts w:asciiTheme="minorHAnsi" w:hAnsiTheme="minorHAnsi" w:cstheme="minorHAnsi"/>
                <w:i/>
              </w:rPr>
              <w:t>Ochrona Środowiska</w:t>
            </w:r>
            <w:r>
              <w:t xml:space="preserve"> </w:t>
            </w:r>
            <w:r>
              <w:rPr>
                <w:rFonts w:asciiTheme="minorHAnsi" w:hAnsiTheme="minorHAnsi" w:cstheme="minorHAnsi"/>
                <w:i/>
              </w:rPr>
              <w:t>przyjęto</w:t>
            </w:r>
            <w:r w:rsidRPr="003B7B70">
              <w:rPr>
                <w:rFonts w:asciiTheme="minorHAnsi" w:hAnsiTheme="minorHAnsi" w:cstheme="minorHAnsi"/>
                <w:i/>
              </w:rPr>
              <w:t xml:space="preserve"> następujące da</w:t>
            </w:r>
            <w:r>
              <w:rPr>
                <w:rFonts w:asciiTheme="minorHAnsi" w:hAnsiTheme="minorHAnsi" w:cstheme="minorHAnsi"/>
                <w:i/>
              </w:rPr>
              <w:t xml:space="preserve">ne referencyjne: województwa </w:t>
            </w:r>
            <w:r w:rsidRPr="003D76A3">
              <w:rPr>
                <w:rFonts w:asciiTheme="minorHAnsi" w:hAnsiTheme="minorHAnsi" w:cstheme="minorHAnsi"/>
                <w:i/>
              </w:rPr>
              <w:t>72,5% wszystkich gospodarstw</w:t>
            </w:r>
          </w:p>
        </w:tc>
      </w:tr>
      <w:tr w:rsidR="00F53351" w:rsidRPr="003B7B70" w:rsidTr="003D7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53351" w:rsidRPr="003B7B70" w:rsidRDefault="00F53351" w:rsidP="003D76A3">
            <w:pPr>
              <w:jc w:val="both"/>
              <w:rPr>
                <w:rFonts w:asciiTheme="minorHAnsi" w:hAnsiTheme="minorHAnsi" w:cstheme="minorHAnsi"/>
              </w:rPr>
            </w:pPr>
            <w:r w:rsidRPr="003B7B70">
              <w:rPr>
                <w:rFonts w:asciiTheme="minorHAnsi" w:hAnsiTheme="minorHAnsi" w:cstheme="minorHAnsi"/>
              </w:rPr>
              <w:t>Niewystarczający udział partycypacji społecznej – niskie zaangażowanie mieszkańców w sprawy gminne</w:t>
            </w:r>
          </w:p>
        </w:tc>
        <w:tc>
          <w:tcPr>
            <w:tcW w:w="6836" w:type="dxa"/>
          </w:tcPr>
          <w:p w:rsidR="00F53351" w:rsidRPr="003B7B70" w:rsidRDefault="00F53351"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organizacji pozarządowych na 100 osób wg miejsca zamieszkania – </w:t>
            </w:r>
            <w:r w:rsidRPr="003B7B70">
              <w:rPr>
                <w:rFonts w:asciiTheme="minorHAnsi" w:hAnsiTheme="minorHAnsi" w:cstheme="minorHAnsi"/>
                <w:b/>
              </w:rPr>
              <w:t>0,</w:t>
            </w:r>
            <w:r>
              <w:rPr>
                <w:rFonts w:asciiTheme="minorHAnsi" w:hAnsiTheme="minorHAnsi" w:cstheme="minorHAnsi"/>
                <w:b/>
              </w:rPr>
              <w:t>1</w:t>
            </w:r>
            <w:r w:rsidR="00985B15">
              <w:rPr>
                <w:rFonts w:asciiTheme="minorHAnsi" w:hAnsiTheme="minorHAnsi" w:cstheme="minorHAnsi"/>
                <w:b/>
              </w:rPr>
              <w:t>6</w:t>
            </w:r>
          </w:p>
          <w:p w:rsidR="00F53351" w:rsidRPr="003B7B70" w:rsidRDefault="00F53351"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19 kategorii Integracja Społeczna  za 2013 rok przyjął następujące dane referencyjne: województwo 0,33)</w:t>
            </w:r>
          </w:p>
          <w:p w:rsidR="00F53351" w:rsidRPr="003B7B70" w:rsidRDefault="00F53351" w:rsidP="003D76A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rsidR="00985B15" w:rsidRDefault="00D67FEC" w:rsidP="00985B15">
      <w:pPr>
        <w:pStyle w:val="Legenda"/>
      </w:pPr>
      <w:r>
        <w:t xml:space="preserve"> </w:t>
      </w:r>
      <w:r w:rsidR="00985B15">
        <w:t>Źródło: Opracowanie własne</w:t>
      </w:r>
    </w:p>
    <w:p w:rsidR="00985B15" w:rsidRDefault="00985B15" w:rsidP="00985B15">
      <w:pPr>
        <w:jc w:val="both"/>
      </w:pPr>
    </w:p>
    <w:p w:rsidR="00985B15" w:rsidRDefault="00985B15" w:rsidP="00985B15">
      <w:pPr>
        <w:pStyle w:val="Nagwek2"/>
        <w:jc w:val="both"/>
      </w:pPr>
      <w:bookmarkStart w:id="120" w:name="_Toc496558096"/>
      <w:r>
        <w:t>Uzasadnienie dla objęcia obszarem rewitalizacji obszarów poprzemysłowych</w:t>
      </w:r>
      <w:bookmarkEnd w:id="120"/>
    </w:p>
    <w:p w:rsidR="00985B15" w:rsidRDefault="00985B15" w:rsidP="00985B15">
      <w:pPr>
        <w:jc w:val="both"/>
      </w:pPr>
    </w:p>
    <w:p w:rsidR="00985B15" w:rsidRDefault="00985B15" w:rsidP="00985B15">
      <w:pPr>
        <w:jc w:val="both"/>
        <w:rPr>
          <w:sz w:val="23"/>
          <w:szCs w:val="23"/>
        </w:rPr>
      </w:pPr>
      <w:r>
        <w:t>Zgodnie z art. 10 ust. 3 Ustawy o rewitalizacji „</w:t>
      </w:r>
      <w:r>
        <w:rPr>
          <w:sz w:val="23"/>
          <w:szCs w:val="23"/>
        </w:rPr>
        <w:t>Niezamieszkałe tereny poprzemysłowe, w tym poportowe i powydobywcze, tereny powojskowe albo pokolejowe, na których występują negatywne zjawiska, o których mowa w art. 9 ust. 1 pkt 1–4, mogą wejść w skład obszaru rewitalizacji wyłącznie w przypadku, gdy działania możliwe do przeprowadzenia na tych terenach przyczynią się do przeciwdziałania negatywnym zjawiskom społecznym, o których mowa w art. 9 ust. 1”</w:t>
      </w:r>
    </w:p>
    <w:p w:rsidR="00985B15" w:rsidRDefault="00985B15" w:rsidP="00985B15">
      <w:pPr>
        <w:jc w:val="both"/>
      </w:pPr>
      <w:r w:rsidRPr="00985B15">
        <w:t>Fabryka przez wiele lat była wiodącym na rynku podmiotem zajmującym się produkcją i modernizacją taboru towarowego i jednym z największych pracodawców w powiecie przeworskim zatrudniającym ponad tysiąc pracowników. Niestety, w październiku 2014 r. spółka Fabryka Wagonów Gniewczyna SA. ogłosiła niewypłacalność i została postawiona w stan upadłości likwidacyjnej z powodu skomplikowanej sytuacji własnościowej, organizacyjnej, jak i finansowej.</w:t>
      </w:r>
    </w:p>
    <w:p w:rsidR="00985B15" w:rsidRDefault="00B30913" w:rsidP="00985B15">
      <w:pPr>
        <w:jc w:val="both"/>
      </w:pPr>
      <w:r>
        <w:t>D</w:t>
      </w:r>
      <w:r w:rsidR="00985B15">
        <w:t>ecyzją Sądu Rejonowego z dnia 15 stycznia 2015 r., Fabryka została postawiona w stan upadłości likwidacyjnej tym samym pracę straciło około 600 pracowników.</w:t>
      </w:r>
      <w:r>
        <w:t xml:space="preserve"> </w:t>
      </w:r>
      <w:r w:rsidR="00985B15">
        <w:t>We wrześniu 2015 r., nowo utworzona Spółka Fabryka Wagonów Gniewczyna Sp. z o.o. podpisała ze słowacką firmą Forespo (właścicielem nieruchomości) umowę dzierżawy części majątku. Wciąż nie podjęto decyzji o dalszym losie byłej fabryki wagonów.</w:t>
      </w:r>
    </w:p>
    <w:p w:rsidR="00B30913" w:rsidRPr="008F0497" w:rsidRDefault="00B30913" w:rsidP="00985B15">
      <w:pPr>
        <w:jc w:val="both"/>
      </w:pPr>
      <w:r>
        <w:t>Gmina, nie będąc właścicielem nieruchomości,  nie planuje prowadzić na terenie byłej fabryki działań rewitalizacyjnych. Jednakowoż jest zaangażowana w rozmowy z potencjalnymi inwestorami i w przypadku rozpoczęcia przez potencjalnego przedsiębiorcę, przedsiębiorców prac na terenie poprzemysłowym zamierza aktywnie wspierać przedsiębiorcę i przy współpracy GOPSu z Powiatowym Urzędem Pracy w Przeworsku prowadzić programy aktywizacji zawodowej mieszkańców gminy Tryńcza zapewniając tym samym wykwalifikowan</w:t>
      </w:r>
      <w:r w:rsidR="00101FD2">
        <w:t>ą kadrę potencjalnym inwestorom.</w:t>
      </w:r>
    </w:p>
    <w:p w:rsidR="008F0497" w:rsidRDefault="008F0497" w:rsidP="001A0127">
      <w:pPr>
        <w:ind w:firstLine="708"/>
        <w:jc w:val="both"/>
      </w:pPr>
    </w:p>
    <w:p w:rsidR="008F0497" w:rsidRDefault="008F0497" w:rsidP="001A0127">
      <w:pPr>
        <w:ind w:firstLine="708"/>
        <w:jc w:val="both"/>
      </w:pPr>
    </w:p>
    <w:p w:rsidR="007446A0" w:rsidRDefault="007446A0" w:rsidP="007446A0">
      <w:pPr>
        <w:pStyle w:val="Nagwek2"/>
      </w:pPr>
      <w:bookmarkStart w:id="121" w:name="_Toc496558097"/>
      <w:r>
        <w:lastRenderedPageBreak/>
        <w:t>Spis map:</w:t>
      </w:r>
      <w:bookmarkEnd w:id="121"/>
    </w:p>
    <w:p w:rsidR="00B30913" w:rsidRDefault="007446A0">
      <w:pPr>
        <w:pStyle w:val="Spisilustracji"/>
        <w:tabs>
          <w:tab w:val="right" w:leader="dot" w:pos="9062"/>
        </w:tabs>
        <w:rPr>
          <w:rFonts w:eastAsiaTheme="minorEastAsia"/>
          <w:noProof/>
          <w:lang w:eastAsia="pl-PL"/>
        </w:rPr>
      </w:pPr>
      <w:r>
        <w:fldChar w:fldCharType="begin"/>
      </w:r>
      <w:r>
        <w:instrText xml:space="preserve"> TOC \h \z \c "Mapa" </w:instrText>
      </w:r>
      <w:r>
        <w:fldChar w:fldCharType="separate"/>
      </w:r>
      <w:hyperlink w:anchor="_Toc495887776" w:history="1">
        <w:r w:rsidR="00B30913" w:rsidRPr="00445FFA">
          <w:rPr>
            <w:rStyle w:val="Hipercze"/>
            <w:noProof/>
          </w:rPr>
          <w:t>Mapa 1 Obszar gminy</w:t>
        </w:r>
        <w:r w:rsidR="00B30913">
          <w:rPr>
            <w:noProof/>
            <w:webHidden/>
          </w:rPr>
          <w:tab/>
        </w:r>
        <w:r w:rsidR="00B30913">
          <w:rPr>
            <w:noProof/>
            <w:webHidden/>
          </w:rPr>
          <w:fldChar w:fldCharType="begin"/>
        </w:r>
        <w:r w:rsidR="00B30913">
          <w:rPr>
            <w:noProof/>
            <w:webHidden/>
          </w:rPr>
          <w:instrText xml:space="preserve"> PAGEREF _Toc495887776 \h </w:instrText>
        </w:r>
        <w:r w:rsidR="00B30913">
          <w:rPr>
            <w:noProof/>
            <w:webHidden/>
          </w:rPr>
        </w:r>
        <w:r w:rsidR="00B30913">
          <w:rPr>
            <w:noProof/>
            <w:webHidden/>
          </w:rPr>
          <w:fldChar w:fldCharType="separate"/>
        </w:r>
        <w:r w:rsidR="00B30913">
          <w:rPr>
            <w:noProof/>
            <w:webHidden/>
          </w:rPr>
          <w:t>3</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777" w:history="1">
        <w:r w:rsidR="00B30913" w:rsidRPr="00445FFA">
          <w:rPr>
            <w:rStyle w:val="Hipercze"/>
            <w:noProof/>
          </w:rPr>
          <w:t>Mapa 2 Liczba ludności w podziale na miejscowości gminy Tryńcza za 2014 rok</w:t>
        </w:r>
        <w:r w:rsidR="00B30913">
          <w:rPr>
            <w:noProof/>
            <w:webHidden/>
          </w:rPr>
          <w:tab/>
        </w:r>
        <w:r w:rsidR="00B30913">
          <w:rPr>
            <w:noProof/>
            <w:webHidden/>
          </w:rPr>
          <w:fldChar w:fldCharType="begin"/>
        </w:r>
        <w:r w:rsidR="00B30913">
          <w:rPr>
            <w:noProof/>
            <w:webHidden/>
          </w:rPr>
          <w:instrText xml:space="preserve"> PAGEREF _Toc495887777 \h </w:instrText>
        </w:r>
        <w:r w:rsidR="00B30913">
          <w:rPr>
            <w:noProof/>
            <w:webHidden/>
          </w:rPr>
        </w:r>
        <w:r w:rsidR="00B30913">
          <w:rPr>
            <w:noProof/>
            <w:webHidden/>
          </w:rPr>
          <w:fldChar w:fldCharType="separate"/>
        </w:r>
        <w:r w:rsidR="00B30913">
          <w:rPr>
            <w:noProof/>
            <w:webHidden/>
          </w:rPr>
          <w:t>9</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778" w:history="1">
        <w:r w:rsidR="00B30913" w:rsidRPr="00445FFA">
          <w:rPr>
            <w:rStyle w:val="Hipercze"/>
            <w:noProof/>
          </w:rPr>
          <w:t>Mapa 3 Obszary chronione na terenie gminy Tryńcza</w:t>
        </w:r>
        <w:r w:rsidR="00B30913">
          <w:rPr>
            <w:noProof/>
            <w:webHidden/>
          </w:rPr>
          <w:tab/>
        </w:r>
        <w:r w:rsidR="00B30913">
          <w:rPr>
            <w:noProof/>
            <w:webHidden/>
          </w:rPr>
          <w:fldChar w:fldCharType="begin"/>
        </w:r>
        <w:r w:rsidR="00B30913">
          <w:rPr>
            <w:noProof/>
            <w:webHidden/>
          </w:rPr>
          <w:instrText xml:space="preserve"> PAGEREF _Toc495887778 \h </w:instrText>
        </w:r>
        <w:r w:rsidR="00B30913">
          <w:rPr>
            <w:noProof/>
            <w:webHidden/>
          </w:rPr>
        </w:r>
        <w:r w:rsidR="00B30913">
          <w:rPr>
            <w:noProof/>
            <w:webHidden/>
          </w:rPr>
          <w:fldChar w:fldCharType="separate"/>
        </w:r>
        <w:r w:rsidR="00B30913">
          <w:rPr>
            <w:noProof/>
            <w:webHidden/>
          </w:rPr>
          <w:t>36</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779" w:history="1">
        <w:r w:rsidR="00B30913" w:rsidRPr="00445FFA">
          <w:rPr>
            <w:rStyle w:val="Hipercze"/>
            <w:noProof/>
          </w:rPr>
          <w:t>Mapa 4 Obszary inwestycyjne Gminy Tryńcza</w:t>
        </w:r>
        <w:r w:rsidR="00B30913">
          <w:rPr>
            <w:noProof/>
            <w:webHidden/>
          </w:rPr>
          <w:tab/>
        </w:r>
        <w:r w:rsidR="00B30913">
          <w:rPr>
            <w:noProof/>
            <w:webHidden/>
          </w:rPr>
          <w:fldChar w:fldCharType="begin"/>
        </w:r>
        <w:r w:rsidR="00B30913">
          <w:rPr>
            <w:noProof/>
            <w:webHidden/>
          </w:rPr>
          <w:instrText xml:space="preserve"> PAGEREF _Toc495887779 \h </w:instrText>
        </w:r>
        <w:r w:rsidR="00B30913">
          <w:rPr>
            <w:noProof/>
            <w:webHidden/>
          </w:rPr>
        </w:r>
        <w:r w:rsidR="00B30913">
          <w:rPr>
            <w:noProof/>
            <w:webHidden/>
          </w:rPr>
          <w:fldChar w:fldCharType="separate"/>
        </w:r>
        <w:r w:rsidR="00B30913">
          <w:rPr>
            <w:noProof/>
            <w:webHidden/>
          </w:rPr>
          <w:t>41</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780" w:history="1">
        <w:r w:rsidR="00B30913" w:rsidRPr="00445FFA">
          <w:rPr>
            <w:rStyle w:val="Hipercze"/>
            <w:noProof/>
          </w:rPr>
          <w:t>Mapa 4 „Ludność w wieku poprodukcyjnym w stosunku do ludności w wieku produkcyjnym wg faktycznego miejsca zamieszkania” dla poszczególnych miejscowości</w:t>
        </w:r>
        <w:r w:rsidR="00B30913">
          <w:rPr>
            <w:noProof/>
            <w:webHidden/>
          </w:rPr>
          <w:tab/>
        </w:r>
        <w:r w:rsidR="00B30913">
          <w:rPr>
            <w:noProof/>
            <w:webHidden/>
          </w:rPr>
          <w:fldChar w:fldCharType="begin"/>
        </w:r>
        <w:r w:rsidR="00B30913">
          <w:rPr>
            <w:noProof/>
            <w:webHidden/>
          </w:rPr>
          <w:instrText xml:space="preserve"> PAGEREF _Toc495887780 \h </w:instrText>
        </w:r>
        <w:r w:rsidR="00B30913">
          <w:rPr>
            <w:noProof/>
            <w:webHidden/>
          </w:rPr>
        </w:r>
        <w:r w:rsidR="00B30913">
          <w:rPr>
            <w:noProof/>
            <w:webHidden/>
          </w:rPr>
          <w:fldChar w:fldCharType="separate"/>
        </w:r>
        <w:r w:rsidR="00B30913">
          <w:rPr>
            <w:noProof/>
            <w:webHidden/>
          </w:rPr>
          <w:t>47</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781" w:history="1">
        <w:r w:rsidR="00B30913" w:rsidRPr="00445FFA">
          <w:rPr>
            <w:rStyle w:val="Hipercze"/>
            <w:noProof/>
          </w:rPr>
          <w:t>Mapa 5 „Mediana wieku wg faktycznego miejsca zamieszkania” dla poszczególnych miejscowości</w:t>
        </w:r>
        <w:r w:rsidR="00B30913">
          <w:rPr>
            <w:noProof/>
            <w:webHidden/>
          </w:rPr>
          <w:tab/>
        </w:r>
        <w:r w:rsidR="00B30913">
          <w:rPr>
            <w:noProof/>
            <w:webHidden/>
          </w:rPr>
          <w:fldChar w:fldCharType="begin"/>
        </w:r>
        <w:r w:rsidR="00B30913">
          <w:rPr>
            <w:noProof/>
            <w:webHidden/>
          </w:rPr>
          <w:instrText xml:space="preserve"> PAGEREF _Toc495887781 \h </w:instrText>
        </w:r>
        <w:r w:rsidR="00B30913">
          <w:rPr>
            <w:noProof/>
            <w:webHidden/>
          </w:rPr>
        </w:r>
        <w:r w:rsidR="00B30913">
          <w:rPr>
            <w:noProof/>
            <w:webHidden/>
          </w:rPr>
          <w:fldChar w:fldCharType="separate"/>
        </w:r>
        <w:r w:rsidR="00B30913">
          <w:rPr>
            <w:noProof/>
            <w:webHidden/>
          </w:rPr>
          <w:t>48</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782" w:history="1">
        <w:r w:rsidR="00B30913" w:rsidRPr="00445FFA">
          <w:rPr>
            <w:rStyle w:val="Hipercze"/>
            <w:noProof/>
          </w:rPr>
          <w:t>Mapa 6 „Przyrost naturalny w przeliczeniu na 100 osób wg faktycznego miejsca zamieszkania” dla poszczególnych miejscowości</w:t>
        </w:r>
        <w:r w:rsidR="00B30913">
          <w:rPr>
            <w:noProof/>
            <w:webHidden/>
          </w:rPr>
          <w:tab/>
        </w:r>
        <w:r w:rsidR="00B30913">
          <w:rPr>
            <w:noProof/>
            <w:webHidden/>
          </w:rPr>
          <w:fldChar w:fldCharType="begin"/>
        </w:r>
        <w:r w:rsidR="00B30913">
          <w:rPr>
            <w:noProof/>
            <w:webHidden/>
          </w:rPr>
          <w:instrText xml:space="preserve"> PAGEREF _Toc495887782 \h </w:instrText>
        </w:r>
        <w:r w:rsidR="00B30913">
          <w:rPr>
            <w:noProof/>
            <w:webHidden/>
          </w:rPr>
        </w:r>
        <w:r w:rsidR="00B30913">
          <w:rPr>
            <w:noProof/>
            <w:webHidden/>
          </w:rPr>
          <w:fldChar w:fldCharType="separate"/>
        </w:r>
        <w:r w:rsidR="00B30913">
          <w:rPr>
            <w:noProof/>
            <w:webHidden/>
          </w:rPr>
          <w:t>49</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783" w:history="1">
        <w:r w:rsidR="00B30913" w:rsidRPr="00445FFA">
          <w:rPr>
            <w:rStyle w:val="Hipercze"/>
            <w:noProof/>
          </w:rPr>
          <w:t>Mapa 7 „Przyrost naturalny w przeliczeniu na 100 osób wg faktycznego miejsca zamieszkania” dla poszczególnych miejscowości</w:t>
        </w:r>
        <w:r w:rsidR="00B30913">
          <w:rPr>
            <w:noProof/>
            <w:webHidden/>
          </w:rPr>
          <w:tab/>
        </w:r>
        <w:r w:rsidR="00B30913">
          <w:rPr>
            <w:noProof/>
            <w:webHidden/>
          </w:rPr>
          <w:fldChar w:fldCharType="begin"/>
        </w:r>
        <w:r w:rsidR="00B30913">
          <w:rPr>
            <w:noProof/>
            <w:webHidden/>
          </w:rPr>
          <w:instrText xml:space="preserve"> PAGEREF _Toc495887783 \h </w:instrText>
        </w:r>
        <w:r w:rsidR="00B30913">
          <w:rPr>
            <w:noProof/>
            <w:webHidden/>
          </w:rPr>
        </w:r>
        <w:r w:rsidR="00B30913">
          <w:rPr>
            <w:noProof/>
            <w:webHidden/>
          </w:rPr>
          <w:fldChar w:fldCharType="separate"/>
        </w:r>
        <w:r w:rsidR="00B30913">
          <w:rPr>
            <w:noProof/>
            <w:webHidden/>
          </w:rPr>
          <w:t>50</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784" w:history="1">
        <w:r w:rsidR="00B30913" w:rsidRPr="00445FFA">
          <w:rPr>
            <w:rStyle w:val="Hipercze"/>
            <w:noProof/>
          </w:rPr>
          <w:t>Mapa 8 „Udział bezrobotnych zarejestrowanych w liczbie ludności w wieku produkcyjnym wg miejsca zamieszkania” dla poszczególnych miejscowości</w:t>
        </w:r>
        <w:r w:rsidR="00B30913">
          <w:rPr>
            <w:noProof/>
            <w:webHidden/>
          </w:rPr>
          <w:tab/>
        </w:r>
        <w:r w:rsidR="00B30913">
          <w:rPr>
            <w:noProof/>
            <w:webHidden/>
          </w:rPr>
          <w:fldChar w:fldCharType="begin"/>
        </w:r>
        <w:r w:rsidR="00B30913">
          <w:rPr>
            <w:noProof/>
            <w:webHidden/>
          </w:rPr>
          <w:instrText xml:space="preserve"> PAGEREF _Toc495887784 \h </w:instrText>
        </w:r>
        <w:r w:rsidR="00B30913">
          <w:rPr>
            <w:noProof/>
            <w:webHidden/>
          </w:rPr>
        </w:r>
        <w:r w:rsidR="00B30913">
          <w:rPr>
            <w:noProof/>
            <w:webHidden/>
          </w:rPr>
          <w:fldChar w:fldCharType="separate"/>
        </w:r>
        <w:r w:rsidR="00B30913">
          <w:rPr>
            <w:noProof/>
            <w:webHidden/>
          </w:rPr>
          <w:t>51</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785" w:history="1">
        <w:r w:rsidR="00B30913" w:rsidRPr="00445FFA">
          <w:rPr>
            <w:rStyle w:val="Hipercze"/>
            <w:noProof/>
          </w:rPr>
          <w:t>Mapa 9 Wskaźnik referencyjny oraz wskaźnik „Liczba osób korzystających ze świadczeń pomocy społecznej w przeliczeniu na 100 osób wg miejsca zamieszkania” dla poszczególnych miejscowości</w:t>
        </w:r>
        <w:r w:rsidR="00B30913">
          <w:rPr>
            <w:noProof/>
            <w:webHidden/>
          </w:rPr>
          <w:tab/>
        </w:r>
        <w:r w:rsidR="00B30913">
          <w:rPr>
            <w:noProof/>
            <w:webHidden/>
          </w:rPr>
          <w:fldChar w:fldCharType="begin"/>
        </w:r>
        <w:r w:rsidR="00B30913">
          <w:rPr>
            <w:noProof/>
            <w:webHidden/>
          </w:rPr>
          <w:instrText xml:space="preserve"> PAGEREF _Toc495887785 \h </w:instrText>
        </w:r>
        <w:r w:rsidR="00B30913">
          <w:rPr>
            <w:noProof/>
            <w:webHidden/>
          </w:rPr>
        </w:r>
        <w:r w:rsidR="00B30913">
          <w:rPr>
            <w:noProof/>
            <w:webHidden/>
          </w:rPr>
          <w:fldChar w:fldCharType="separate"/>
        </w:r>
        <w:r w:rsidR="00B30913">
          <w:rPr>
            <w:noProof/>
            <w:webHidden/>
          </w:rPr>
          <w:t>53</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786" w:history="1">
        <w:r w:rsidR="00B30913" w:rsidRPr="00445FFA">
          <w:rPr>
            <w:rStyle w:val="Hipercze"/>
            <w:noProof/>
          </w:rPr>
          <w:t>Mapa 10 Wskaźnik referencyjny oraz wskaźnik „Liczba zarejestrowanych podmiotów gospodarczych w rejestrze REGON w przeliczeniu na 100 osób wg faktycznego miejsca zamieszkania - ogółem” dla poszczególnych miejscowości</w:t>
        </w:r>
        <w:r w:rsidR="00B30913">
          <w:rPr>
            <w:noProof/>
            <w:webHidden/>
          </w:rPr>
          <w:tab/>
        </w:r>
        <w:r w:rsidR="00B30913">
          <w:rPr>
            <w:noProof/>
            <w:webHidden/>
          </w:rPr>
          <w:fldChar w:fldCharType="begin"/>
        </w:r>
        <w:r w:rsidR="00B30913">
          <w:rPr>
            <w:noProof/>
            <w:webHidden/>
          </w:rPr>
          <w:instrText xml:space="preserve"> PAGEREF _Toc495887786 \h </w:instrText>
        </w:r>
        <w:r w:rsidR="00B30913">
          <w:rPr>
            <w:noProof/>
            <w:webHidden/>
          </w:rPr>
        </w:r>
        <w:r w:rsidR="00B30913">
          <w:rPr>
            <w:noProof/>
            <w:webHidden/>
          </w:rPr>
          <w:fldChar w:fldCharType="separate"/>
        </w:r>
        <w:r w:rsidR="00B30913">
          <w:rPr>
            <w:noProof/>
            <w:webHidden/>
          </w:rPr>
          <w:t>54</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787" w:history="1">
        <w:r w:rsidR="00B30913" w:rsidRPr="00445FFA">
          <w:rPr>
            <w:rStyle w:val="Hipercze"/>
            <w:noProof/>
          </w:rPr>
          <w:t>Mapa 11 Liczba organizacji pozarządowych na 100 osób wg miejsca zamieszkania</w:t>
        </w:r>
        <w:r w:rsidR="00B30913">
          <w:rPr>
            <w:noProof/>
            <w:webHidden/>
          </w:rPr>
          <w:tab/>
        </w:r>
        <w:r w:rsidR="00B30913">
          <w:rPr>
            <w:noProof/>
            <w:webHidden/>
          </w:rPr>
          <w:fldChar w:fldCharType="begin"/>
        </w:r>
        <w:r w:rsidR="00B30913">
          <w:rPr>
            <w:noProof/>
            <w:webHidden/>
          </w:rPr>
          <w:instrText xml:space="preserve"> PAGEREF _Toc495887787 \h </w:instrText>
        </w:r>
        <w:r w:rsidR="00B30913">
          <w:rPr>
            <w:noProof/>
            <w:webHidden/>
          </w:rPr>
        </w:r>
        <w:r w:rsidR="00B30913">
          <w:rPr>
            <w:noProof/>
            <w:webHidden/>
          </w:rPr>
          <w:fldChar w:fldCharType="separate"/>
        </w:r>
        <w:r w:rsidR="00B30913">
          <w:rPr>
            <w:noProof/>
            <w:webHidden/>
          </w:rPr>
          <w:t>57</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788" w:history="1">
        <w:r w:rsidR="00B30913" w:rsidRPr="00445FFA">
          <w:rPr>
            <w:rStyle w:val="Hipercze"/>
            <w:noProof/>
          </w:rPr>
          <w:t>Mapa 12 Obszar zdegradowany</w:t>
        </w:r>
        <w:r w:rsidR="00B30913">
          <w:rPr>
            <w:noProof/>
            <w:webHidden/>
          </w:rPr>
          <w:tab/>
        </w:r>
        <w:r w:rsidR="00B30913">
          <w:rPr>
            <w:noProof/>
            <w:webHidden/>
          </w:rPr>
          <w:fldChar w:fldCharType="begin"/>
        </w:r>
        <w:r w:rsidR="00B30913">
          <w:rPr>
            <w:noProof/>
            <w:webHidden/>
          </w:rPr>
          <w:instrText xml:space="preserve"> PAGEREF _Toc495887788 \h </w:instrText>
        </w:r>
        <w:r w:rsidR="00B30913">
          <w:rPr>
            <w:noProof/>
            <w:webHidden/>
          </w:rPr>
        </w:r>
        <w:r w:rsidR="00B30913">
          <w:rPr>
            <w:noProof/>
            <w:webHidden/>
          </w:rPr>
          <w:fldChar w:fldCharType="separate"/>
        </w:r>
        <w:r w:rsidR="00B30913">
          <w:rPr>
            <w:noProof/>
            <w:webHidden/>
          </w:rPr>
          <w:t>59</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789" w:history="1">
        <w:r w:rsidR="00B30913" w:rsidRPr="00445FFA">
          <w:rPr>
            <w:rStyle w:val="Hipercze"/>
            <w:noProof/>
          </w:rPr>
          <w:t>Mapa 13</w:t>
        </w:r>
        <w:r w:rsidR="00B30913">
          <w:rPr>
            <w:noProof/>
            <w:webHidden/>
          </w:rPr>
          <w:tab/>
        </w:r>
        <w:r w:rsidR="00B30913">
          <w:rPr>
            <w:noProof/>
            <w:webHidden/>
          </w:rPr>
          <w:fldChar w:fldCharType="begin"/>
        </w:r>
        <w:r w:rsidR="00B30913">
          <w:rPr>
            <w:noProof/>
            <w:webHidden/>
          </w:rPr>
          <w:instrText xml:space="preserve"> PAGEREF _Toc495887789 \h </w:instrText>
        </w:r>
        <w:r w:rsidR="00B30913">
          <w:rPr>
            <w:noProof/>
            <w:webHidden/>
          </w:rPr>
        </w:r>
        <w:r w:rsidR="00B30913">
          <w:rPr>
            <w:noProof/>
            <w:webHidden/>
          </w:rPr>
          <w:fldChar w:fldCharType="separate"/>
        </w:r>
        <w:r w:rsidR="00B30913">
          <w:rPr>
            <w:noProof/>
            <w:webHidden/>
          </w:rPr>
          <w:t>61</w:t>
        </w:r>
        <w:r w:rsidR="00B30913">
          <w:rPr>
            <w:noProof/>
            <w:webHidden/>
          </w:rPr>
          <w:fldChar w:fldCharType="end"/>
        </w:r>
      </w:hyperlink>
    </w:p>
    <w:p w:rsidR="009C6581" w:rsidRDefault="007446A0" w:rsidP="007446A0">
      <w:pPr>
        <w:pStyle w:val="Nagwek2"/>
      </w:pPr>
      <w:r>
        <w:fldChar w:fldCharType="end"/>
      </w:r>
    </w:p>
    <w:p w:rsidR="009C6581" w:rsidRDefault="009C6581" w:rsidP="007446A0">
      <w:pPr>
        <w:pStyle w:val="Nagwek2"/>
      </w:pPr>
    </w:p>
    <w:p w:rsidR="009C6581" w:rsidRDefault="009C6581" w:rsidP="007446A0">
      <w:pPr>
        <w:pStyle w:val="Nagwek2"/>
      </w:pPr>
    </w:p>
    <w:p w:rsidR="009C6581" w:rsidRDefault="009C6581" w:rsidP="007446A0">
      <w:pPr>
        <w:pStyle w:val="Nagwek2"/>
      </w:pPr>
    </w:p>
    <w:p w:rsidR="009C6581" w:rsidRDefault="009C6581" w:rsidP="007446A0">
      <w:pPr>
        <w:pStyle w:val="Nagwek2"/>
      </w:pPr>
    </w:p>
    <w:p w:rsidR="009C6581" w:rsidRDefault="009C6581" w:rsidP="007446A0">
      <w:pPr>
        <w:pStyle w:val="Nagwek2"/>
        <w:sectPr w:rsidR="009C6581">
          <w:pgSz w:w="11906" w:h="16838"/>
          <w:pgMar w:top="1417" w:right="1417" w:bottom="1417" w:left="1417" w:header="708" w:footer="708" w:gutter="0"/>
          <w:cols w:space="708"/>
          <w:docGrid w:linePitch="360"/>
        </w:sectPr>
      </w:pPr>
    </w:p>
    <w:p w:rsidR="007446A0" w:rsidRDefault="007446A0" w:rsidP="007446A0">
      <w:pPr>
        <w:pStyle w:val="Nagwek2"/>
      </w:pPr>
      <w:bookmarkStart w:id="122" w:name="_Toc496558098"/>
      <w:r>
        <w:lastRenderedPageBreak/>
        <w:t>Spis tabel:</w:t>
      </w:r>
      <w:bookmarkEnd w:id="122"/>
    </w:p>
    <w:p w:rsidR="00B30913" w:rsidRDefault="007446A0">
      <w:pPr>
        <w:pStyle w:val="Spisilustracji"/>
        <w:tabs>
          <w:tab w:val="right" w:leader="dot" w:pos="9062"/>
        </w:tabs>
        <w:rPr>
          <w:rFonts w:eastAsiaTheme="minorEastAsia"/>
          <w:noProof/>
          <w:lang w:eastAsia="pl-PL"/>
        </w:rPr>
      </w:pPr>
      <w:r>
        <w:fldChar w:fldCharType="begin"/>
      </w:r>
      <w:r>
        <w:instrText xml:space="preserve"> TOC \h \z \c "Tabela" </w:instrText>
      </w:r>
      <w:r>
        <w:fldChar w:fldCharType="separate"/>
      </w:r>
      <w:hyperlink w:anchor="_Toc495887790" w:history="1">
        <w:r w:rsidR="00B30913" w:rsidRPr="000E0117">
          <w:rPr>
            <w:rStyle w:val="Hipercze"/>
            <w:noProof/>
          </w:rPr>
          <w:t>Tabela 1 Powierzchnia gruntów leśnych</w:t>
        </w:r>
        <w:r w:rsidR="00B30913">
          <w:rPr>
            <w:noProof/>
            <w:webHidden/>
          </w:rPr>
          <w:tab/>
        </w:r>
        <w:r w:rsidR="00B30913">
          <w:rPr>
            <w:noProof/>
            <w:webHidden/>
          </w:rPr>
          <w:fldChar w:fldCharType="begin"/>
        </w:r>
        <w:r w:rsidR="00B30913">
          <w:rPr>
            <w:noProof/>
            <w:webHidden/>
          </w:rPr>
          <w:instrText xml:space="preserve"> PAGEREF _Toc495887790 \h </w:instrText>
        </w:r>
        <w:r w:rsidR="00B30913">
          <w:rPr>
            <w:noProof/>
            <w:webHidden/>
          </w:rPr>
        </w:r>
        <w:r w:rsidR="00B30913">
          <w:rPr>
            <w:noProof/>
            <w:webHidden/>
          </w:rPr>
          <w:fldChar w:fldCharType="separate"/>
        </w:r>
        <w:r w:rsidR="00B30913">
          <w:rPr>
            <w:noProof/>
            <w:webHidden/>
          </w:rPr>
          <w:t>5</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791" w:history="1">
        <w:r w:rsidR="00B30913" w:rsidRPr="000E0117">
          <w:rPr>
            <w:rStyle w:val="Hipercze"/>
            <w:noProof/>
          </w:rPr>
          <w:t>Tabela 2 Rzeczywista liczba rodzin i osób objętych pomocą społeczną w 2014 r</w:t>
        </w:r>
        <w:r w:rsidR="00B30913">
          <w:rPr>
            <w:noProof/>
            <w:webHidden/>
          </w:rPr>
          <w:tab/>
        </w:r>
        <w:r w:rsidR="00B30913">
          <w:rPr>
            <w:noProof/>
            <w:webHidden/>
          </w:rPr>
          <w:fldChar w:fldCharType="begin"/>
        </w:r>
        <w:r w:rsidR="00B30913">
          <w:rPr>
            <w:noProof/>
            <w:webHidden/>
          </w:rPr>
          <w:instrText xml:space="preserve"> PAGEREF _Toc495887791 \h </w:instrText>
        </w:r>
        <w:r w:rsidR="00B30913">
          <w:rPr>
            <w:noProof/>
            <w:webHidden/>
          </w:rPr>
        </w:r>
        <w:r w:rsidR="00B30913">
          <w:rPr>
            <w:noProof/>
            <w:webHidden/>
          </w:rPr>
          <w:fldChar w:fldCharType="separate"/>
        </w:r>
        <w:r w:rsidR="00B30913">
          <w:rPr>
            <w:noProof/>
            <w:webHidden/>
          </w:rPr>
          <w:t>14</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792" w:history="1">
        <w:r w:rsidR="00B30913" w:rsidRPr="000E0117">
          <w:rPr>
            <w:rStyle w:val="Hipercze"/>
            <w:noProof/>
          </w:rPr>
          <w:t>Tabela 3 Liczba rodzin korzystających z pomocy społecznej wg kryterium przyznania pomocy</w:t>
        </w:r>
        <w:r w:rsidR="00B30913">
          <w:rPr>
            <w:noProof/>
            <w:webHidden/>
          </w:rPr>
          <w:tab/>
        </w:r>
        <w:r w:rsidR="00B30913">
          <w:rPr>
            <w:noProof/>
            <w:webHidden/>
          </w:rPr>
          <w:fldChar w:fldCharType="begin"/>
        </w:r>
        <w:r w:rsidR="00B30913">
          <w:rPr>
            <w:noProof/>
            <w:webHidden/>
          </w:rPr>
          <w:instrText xml:space="preserve"> PAGEREF _Toc495887792 \h </w:instrText>
        </w:r>
        <w:r w:rsidR="00B30913">
          <w:rPr>
            <w:noProof/>
            <w:webHidden/>
          </w:rPr>
        </w:r>
        <w:r w:rsidR="00B30913">
          <w:rPr>
            <w:noProof/>
            <w:webHidden/>
          </w:rPr>
          <w:fldChar w:fldCharType="separate"/>
        </w:r>
        <w:r w:rsidR="00B30913">
          <w:rPr>
            <w:noProof/>
            <w:webHidden/>
          </w:rPr>
          <w:t>15</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793" w:history="1">
        <w:r w:rsidR="00B30913" w:rsidRPr="000E0117">
          <w:rPr>
            <w:rStyle w:val="Hipercze"/>
            <w:noProof/>
          </w:rPr>
          <w:t>Tabela 4 Liczba osób w rodzinach korzystających z pomocy społecznej wg kryterium przyznania pomocy</w:t>
        </w:r>
        <w:r w:rsidR="00B30913">
          <w:rPr>
            <w:noProof/>
            <w:webHidden/>
          </w:rPr>
          <w:tab/>
        </w:r>
        <w:r w:rsidR="00B30913">
          <w:rPr>
            <w:noProof/>
            <w:webHidden/>
          </w:rPr>
          <w:fldChar w:fldCharType="begin"/>
        </w:r>
        <w:r w:rsidR="00B30913">
          <w:rPr>
            <w:noProof/>
            <w:webHidden/>
          </w:rPr>
          <w:instrText xml:space="preserve"> PAGEREF _Toc495887793 \h </w:instrText>
        </w:r>
        <w:r w:rsidR="00B30913">
          <w:rPr>
            <w:noProof/>
            <w:webHidden/>
          </w:rPr>
        </w:r>
        <w:r w:rsidR="00B30913">
          <w:rPr>
            <w:noProof/>
            <w:webHidden/>
          </w:rPr>
          <w:fldChar w:fldCharType="separate"/>
        </w:r>
        <w:r w:rsidR="00B30913">
          <w:rPr>
            <w:noProof/>
            <w:webHidden/>
          </w:rPr>
          <w:t>16</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794" w:history="1">
        <w:r w:rsidR="00B30913" w:rsidRPr="000E0117">
          <w:rPr>
            <w:rStyle w:val="Hipercze"/>
            <w:noProof/>
          </w:rPr>
          <w:t>Tabela 5  Długość linii wodociągowej w Gminie Tryńcza. Stan na 31.08.2015 (oprac. wł. na podstawie danych UG)</w:t>
        </w:r>
        <w:r w:rsidR="00B30913">
          <w:rPr>
            <w:noProof/>
            <w:webHidden/>
          </w:rPr>
          <w:tab/>
        </w:r>
        <w:r w:rsidR="00B30913">
          <w:rPr>
            <w:noProof/>
            <w:webHidden/>
          </w:rPr>
          <w:fldChar w:fldCharType="begin"/>
        </w:r>
        <w:r w:rsidR="00B30913">
          <w:rPr>
            <w:noProof/>
            <w:webHidden/>
          </w:rPr>
          <w:instrText xml:space="preserve"> PAGEREF _Toc495887794 \h </w:instrText>
        </w:r>
        <w:r w:rsidR="00B30913">
          <w:rPr>
            <w:noProof/>
            <w:webHidden/>
          </w:rPr>
        </w:r>
        <w:r w:rsidR="00B30913">
          <w:rPr>
            <w:noProof/>
            <w:webHidden/>
          </w:rPr>
          <w:fldChar w:fldCharType="separate"/>
        </w:r>
        <w:r w:rsidR="00B30913">
          <w:rPr>
            <w:noProof/>
            <w:webHidden/>
          </w:rPr>
          <w:t>19</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795" w:history="1">
        <w:r w:rsidR="00B30913" w:rsidRPr="000E0117">
          <w:rPr>
            <w:rStyle w:val="Hipercze"/>
            <w:noProof/>
          </w:rPr>
          <w:t>Tabela 6 Długość  sieci kanalizacyjnej w Gminie Tryńcza . Stan na 31.08.2015 (oprac. wł. na podstawie danych UG)</w:t>
        </w:r>
        <w:r w:rsidR="00B30913">
          <w:rPr>
            <w:noProof/>
            <w:webHidden/>
          </w:rPr>
          <w:tab/>
        </w:r>
        <w:r w:rsidR="00B30913">
          <w:rPr>
            <w:noProof/>
            <w:webHidden/>
          </w:rPr>
          <w:fldChar w:fldCharType="begin"/>
        </w:r>
        <w:r w:rsidR="00B30913">
          <w:rPr>
            <w:noProof/>
            <w:webHidden/>
          </w:rPr>
          <w:instrText xml:space="preserve"> PAGEREF _Toc495887795 \h </w:instrText>
        </w:r>
        <w:r w:rsidR="00B30913">
          <w:rPr>
            <w:noProof/>
            <w:webHidden/>
          </w:rPr>
        </w:r>
        <w:r w:rsidR="00B30913">
          <w:rPr>
            <w:noProof/>
            <w:webHidden/>
          </w:rPr>
          <w:fldChar w:fldCharType="separate"/>
        </w:r>
        <w:r w:rsidR="00B30913">
          <w:rPr>
            <w:noProof/>
            <w:webHidden/>
          </w:rPr>
          <w:t>19</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796" w:history="1">
        <w:r w:rsidR="00B30913" w:rsidRPr="000E0117">
          <w:rPr>
            <w:rStyle w:val="Hipercze"/>
            <w:noProof/>
          </w:rPr>
          <w:t>Tabela 7 Stan sieci gazowej na terenie Gminy Tryńcza. Stan na 30.12.2014 (oprac. wł. na podst. danych z UG)</w:t>
        </w:r>
        <w:r w:rsidR="00B30913">
          <w:rPr>
            <w:noProof/>
            <w:webHidden/>
          </w:rPr>
          <w:tab/>
        </w:r>
        <w:r w:rsidR="00B30913">
          <w:rPr>
            <w:noProof/>
            <w:webHidden/>
          </w:rPr>
          <w:fldChar w:fldCharType="begin"/>
        </w:r>
        <w:r w:rsidR="00B30913">
          <w:rPr>
            <w:noProof/>
            <w:webHidden/>
          </w:rPr>
          <w:instrText xml:space="preserve"> PAGEREF _Toc495887796 \h </w:instrText>
        </w:r>
        <w:r w:rsidR="00B30913">
          <w:rPr>
            <w:noProof/>
            <w:webHidden/>
          </w:rPr>
        </w:r>
        <w:r w:rsidR="00B30913">
          <w:rPr>
            <w:noProof/>
            <w:webHidden/>
          </w:rPr>
          <w:fldChar w:fldCharType="separate"/>
        </w:r>
        <w:r w:rsidR="00B30913">
          <w:rPr>
            <w:noProof/>
            <w:webHidden/>
          </w:rPr>
          <w:t>20</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797" w:history="1">
        <w:r w:rsidR="00B30913" w:rsidRPr="000E0117">
          <w:rPr>
            <w:rStyle w:val="Hipercze"/>
            <w:noProof/>
          </w:rPr>
          <w:t>Tabela 8 Stałe planowe zajęcia realizowane w  wybranych placówkach kultury w Gminie Tryńcza</w:t>
        </w:r>
        <w:r w:rsidR="00B30913">
          <w:rPr>
            <w:noProof/>
            <w:webHidden/>
          </w:rPr>
          <w:tab/>
        </w:r>
        <w:r w:rsidR="00B30913">
          <w:rPr>
            <w:noProof/>
            <w:webHidden/>
          </w:rPr>
          <w:fldChar w:fldCharType="begin"/>
        </w:r>
        <w:r w:rsidR="00B30913">
          <w:rPr>
            <w:noProof/>
            <w:webHidden/>
          </w:rPr>
          <w:instrText xml:space="preserve"> PAGEREF _Toc495887797 \h </w:instrText>
        </w:r>
        <w:r w:rsidR="00B30913">
          <w:rPr>
            <w:noProof/>
            <w:webHidden/>
          </w:rPr>
        </w:r>
        <w:r w:rsidR="00B30913">
          <w:rPr>
            <w:noProof/>
            <w:webHidden/>
          </w:rPr>
          <w:fldChar w:fldCharType="separate"/>
        </w:r>
        <w:r w:rsidR="00B30913">
          <w:rPr>
            <w:noProof/>
            <w:webHidden/>
          </w:rPr>
          <w:t>24</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798" w:history="1">
        <w:r w:rsidR="00B30913" w:rsidRPr="000E0117">
          <w:rPr>
            <w:rStyle w:val="Hipercze"/>
            <w:noProof/>
          </w:rPr>
          <w:t>Tabela 9 Najważniejsze informacje na temat infrastruktury placówek oświatowych</w:t>
        </w:r>
        <w:r w:rsidR="00B30913">
          <w:rPr>
            <w:noProof/>
            <w:webHidden/>
          </w:rPr>
          <w:tab/>
        </w:r>
        <w:r w:rsidR="00B30913">
          <w:rPr>
            <w:noProof/>
            <w:webHidden/>
          </w:rPr>
          <w:fldChar w:fldCharType="begin"/>
        </w:r>
        <w:r w:rsidR="00B30913">
          <w:rPr>
            <w:noProof/>
            <w:webHidden/>
          </w:rPr>
          <w:instrText xml:space="preserve"> PAGEREF _Toc495887798 \h </w:instrText>
        </w:r>
        <w:r w:rsidR="00B30913">
          <w:rPr>
            <w:noProof/>
            <w:webHidden/>
          </w:rPr>
        </w:r>
        <w:r w:rsidR="00B30913">
          <w:rPr>
            <w:noProof/>
            <w:webHidden/>
          </w:rPr>
          <w:fldChar w:fldCharType="separate"/>
        </w:r>
        <w:r w:rsidR="00B30913">
          <w:rPr>
            <w:noProof/>
            <w:webHidden/>
          </w:rPr>
          <w:t>26</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799" w:history="1">
        <w:r w:rsidR="00B30913" w:rsidRPr="000E0117">
          <w:rPr>
            <w:rStyle w:val="Hipercze"/>
            <w:noProof/>
          </w:rPr>
          <w:t>Tabela 10 Zasoby mieszkaniowe gminy w latach 2008-2014</w:t>
        </w:r>
        <w:r w:rsidR="00B30913">
          <w:rPr>
            <w:noProof/>
            <w:webHidden/>
          </w:rPr>
          <w:tab/>
        </w:r>
        <w:r w:rsidR="00B30913">
          <w:rPr>
            <w:noProof/>
            <w:webHidden/>
          </w:rPr>
          <w:fldChar w:fldCharType="begin"/>
        </w:r>
        <w:r w:rsidR="00B30913">
          <w:rPr>
            <w:noProof/>
            <w:webHidden/>
          </w:rPr>
          <w:instrText xml:space="preserve"> PAGEREF _Toc495887799 \h </w:instrText>
        </w:r>
        <w:r w:rsidR="00B30913">
          <w:rPr>
            <w:noProof/>
            <w:webHidden/>
          </w:rPr>
        </w:r>
        <w:r w:rsidR="00B30913">
          <w:rPr>
            <w:noProof/>
            <w:webHidden/>
          </w:rPr>
          <w:fldChar w:fldCharType="separate"/>
        </w:r>
        <w:r w:rsidR="00B30913">
          <w:rPr>
            <w:noProof/>
            <w:webHidden/>
          </w:rPr>
          <w:t>30</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800" w:history="1">
        <w:r w:rsidR="00B30913" w:rsidRPr="000E0117">
          <w:rPr>
            <w:rStyle w:val="Hipercze"/>
            <w:noProof/>
          </w:rPr>
          <w:t>Tabela 11 Mieszkania wyposażone w instalacje - w % ogółu mieszkań</w:t>
        </w:r>
        <w:r w:rsidR="00B30913">
          <w:rPr>
            <w:noProof/>
            <w:webHidden/>
          </w:rPr>
          <w:tab/>
        </w:r>
        <w:r w:rsidR="00B30913">
          <w:rPr>
            <w:noProof/>
            <w:webHidden/>
          </w:rPr>
          <w:fldChar w:fldCharType="begin"/>
        </w:r>
        <w:r w:rsidR="00B30913">
          <w:rPr>
            <w:noProof/>
            <w:webHidden/>
          </w:rPr>
          <w:instrText xml:space="preserve"> PAGEREF _Toc495887800 \h </w:instrText>
        </w:r>
        <w:r w:rsidR="00B30913">
          <w:rPr>
            <w:noProof/>
            <w:webHidden/>
          </w:rPr>
        </w:r>
        <w:r w:rsidR="00B30913">
          <w:rPr>
            <w:noProof/>
            <w:webHidden/>
          </w:rPr>
          <w:fldChar w:fldCharType="separate"/>
        </w:r>
        <w:r w:rsidR="00B30913">
          <w:rPr>
            <w:noProof/>
            <w:webHidden/>
          </w:rPr>
          <w:t>32</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801" w:history="1">
        <w:r w:rsidR="00B30913" w:rsidRPr="000E0117">
          <w:rPr>
            <w:rStyle w:val="Hipercze"/>
            <w:noProof/>
          </w:rPr>
          <w:t>Tabela 12: Stan sieci gazowej na terenie Gminy Tryńcza. Stan na 30.12.2014</w:t>
        </w:r>
        <w:r w:rsidR="00B30913">
          <w:rPr>
            <w:noProof/>
            <w:webHidden/>
          </w:rPr>
          <w:tab/>
        </w:r>
        <w:r w:rsidR="00B30913">
          <w:rPr>
            <w:noProof/>
            <w:webHidden/>
          </w:rPr>
          <w:fldChar w:fldCharType="begin"/>
        </w:r>
        <w:r w:rsidR="00B30913">
          <w:rPr>
            <w:noProof/>
            <w:webHidden/>
          </w:rPr>
          <w:instrText xml:space="preserve"> PAGEREF _Toc495887801 \h </w:instrText>
        </w:r>
        <w:r w:rsidR="00B30913">
          <w:rPr>
            <w:noProof/>
            <w:webHidden/>
          </w:rPr>
        </w:r>
        <w:r w:rsidR="00B30913">
          <w:rPr>
            <w:noProof/>
            <w:webHidden/>
          </w:rPr>
          <w:fldChar w:fldCharType="separate"/>
        </w:r>
        <w:r w:rsidR="00B30913">
          <w:rPr>
            <w:noProof/>
            <w:webHidden/>
          </w:rPr>
          <w:t>32</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802" w:history="1">
        <w:r w:rsidR="00B30913" w:rsidRPr="000E0117">
          <w:rPr>
            <w:rStyle w:val="Hipercze"/>
            <w:noProof/>
          </w:rPr>
          <w:t>Tabela 13 Powierzchnia gruntów leśnych</w:t>
        </w:r>
        <w:r w:rsidR="00B30913">
          <w:rPr>
            <w:noProof/>
            <w:webHidden/>
          </w:rPr>
          <w:tab/>
        </w:r>
        <w:r w:rsidR="00B30913">
          <w:rPr>
            <w:noProof/>
            <w:webHidden/>
          </w:rPr>
          <w:fldChar w:fldCharType="begin"/>
        </w:r>
        <w:r w:rsidR="00B30913">
          <w:rPr>
            <w:noProof/>
            <w:webHidden/>
          </w:rPr>
          <w:instrText xml:space="preserve"> PAGEREF _Toc495887802 \h </w:instrText>
        </w:r>
        <w:r w:rsidR="00B30913">
          <w:rPr>
            <w:noProof/>
            <w:webHidden/>
          </w:rPr>
        </w:r>
        <w:r w:rsidR="00B30913">
          <w:rPr>
            <w:noProof/>
            <w:webHidden/>
          </w:rPr>
          <w:fldChar w:fldCharType="separate"/>
        </w:r>
        <w:r w:rsidR="00B30913">
          <w:rPr>
            <w:noProof/>
            <w:webHidden/>
          </w:rPr>
          <w:t>34</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803" w:history="1">
        <w:r w:rsidR="00B30913" w:rsidRPr="000E0117">
          <w:rPr>
            <w:rStyle w:val="Hipercze"/>
            <w:noProof/>
          </w:rPr>
          <w:t>Tabela 14 Podmioty gospodarki narodowej wskaźniki</w:t>
        </w:r>
        <w:r w:rsidR="00B30913">
          <w:rPr>
            <w:noProof/>
            <w:webHidden/>
          </w:rPr>
          <w:tab/>
        </w:r>
        <w:r w:rsidR="00B30913">
          <w:rPr>
            <w:noProof/>
            <w:webHidden/>
          </w:rPr>
          <w:fldChar w:fldCharType="begin"/>
        </w:r>
        <w:r w:rsidR="00B30913">
          <w:rPr>
            <w:noProof/>
            <w:webHidden/>
          </w:rPr>
          <w:instrText xml:space="preserve"> PAGEREF _Toc495887803 \h </w:instrText>
        </w:r>
        <w:r w:rsidR="00B30913">
          <w:rPr>
            <w:noProof/>
            <w:webHidden/>
          </w:rPr>
        </w:r>
        <w:r w:rsidR="00B30913">
          <w:rPr>
            <w:noProof/>
            <w:webHidden/>
          </w:rPr>
          <w:fldChar w:fldCharType="separate"/>
        </w:r>
        <w:r w:rsidR="00B30913">
          <w:rPr>
            <w:noProof/>
            <w:webHidden/>
          </w:rPr>
          <w:t>39</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804" w:history="1">
        <w:r w:rsidR="00B30913" w:rsidRPr="000E0117">
          <w:rPr>
            <w:rStyle w:val="Hipercze"/>
            <w:noProof/>
          </w:rPr>
          <w:t>Tabela 15 Wskaźnik referencyjny oraz wskaźnik „Saldo migracji na pobyt stały w przeliczeniu na 100 osób wg faktycznego miejsca zamieszkania” dla poszczególnych miejscowości</w:t>
        </w:r>
        <w:r w:rsidR="00B30913">
          <w:rPr>
            <w:noProof/>
            <w:webHidden/>
          </w:rPr>
          <w:tab/>
        </w:r>
        <w:r w:rsidR="00B30913">
          <w:rPr>
            <w:noProof/>
            <w:webHidden/>
          </w:rPr>
          <w:fldChar w:fldCharType="begin"/>
        </w:r>
        <w:r w:rsidR="00B30913">
          <w:rPr>
            <w:noProof/>
            <w:webHidden/>
          </w:rPr>
          <w:instrText xml:space="preserve"> PAGEREF _Toc495887804 \h </w:instrText>
        </w:r>
        <w:r w:rsidR="00B30913">
          <w:rPr>
            <w:noProof/>
            <w:webHidden/>
          </w:rPr>
        </w:r>
        <w:r w:rsidR="00B30913">
          <w:rPr>
            <w:noProof/>
            <w:webHidden/>
          </w:rPr>
          <w:fldChar w:fldCharType="separate"/>
        </w:r>
        <w:r w:rsidR="00B30913">
          <w:rPr>
            <w:noProof/>
            <w:webHidden/>
          </w:rPr>
          <w:t>46</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805" w:history="1">
        <w:r w:rsidR="00B30913" w:rsidRPr="000E0117">
          <w:rPr>
            <w:rStyle w:val="Hipercze"/>
            <w:noProof/>
          </w:rPr>
          <w:t>Tabela 16 Wskaźnik referencyjny oraz wskaźnik „Ludność w wieku poprodukcyjnym w stosunku do ludności w wieku produkcyjnym wg faktycznego miejsca zamieszkania” dla poszczególnych miejscowości</w:t>
        </w:r>
        <w:r w:rsidR="00B30913">
          <w:rPr>
            <w:noProof/>
            <w:webHidden/>
          </w:rPr>
          <w:tab/>
        </w:r>
        <w:r w:rsidR="00B30913">
          <w:rPr>
            <w:noProof/>
            <w:webHidden/>
          </w:rPr>
          <w:fldChar w:fldCharType="begin"/>
        </w:r>
        <w:r w:rsidR="00B30913">
          <w:rPr>
            <w:noProof/>
            <w:webHidden/>
          </w:rPr>
          <w:instrText xml:space="preserve"> PAGEREF _Toc495887805 \h </w:instrText>
        </w:r>
        <w:r w:rsidR="00B30913">
          <w:rPr>
            <w:noProof/>
            <w:webHidden/>
          </w:rPr>
        </w:r>
        <w:r w:rsidR="00B30913">
          <w:rPr>
            <w:noProof/>
            <w:webHidden/>
          </w:rPr>
          <w:fldChar w:fldCharType="separate"/>
        </w:r>
        <w:r w:rsidR="00B30913">
          <w:rPr>
            <w:noProof/>
            <w:webHidden/>
          </w:rPr>
          <w:t>47</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806" w:history="1">
        <w:r w:rsidR="00B30913" w:rsidRPr="000E0117">
          <w:rPr>
            <w:rStyle w:val="Hipercze"/>
            <w:noProof/>
          </w:rPr>
          <w:t>Tabela 17 Wskaźnik referencyjny oraz wskaźnik „Mediana wieku” dla poszczególnych miejscowości</w:t>
        </w:r>
        <w:r w:rsidR="00B30913">
          <w:rPr>
            <w:noProof/>
            <w:webHidden/>
          </w:rPr>
          <w:tab/>
        </w:r>
        <w:r w:rsidR="00B30913">
          <w:rPr>
            <w:noProof/>
            <w:webHidden/>
          </w:rPr>
          <w:fldChar w:fldCharType="begin"/>
        </w:r>
        <w:r w:rsidR="00B30913">
          <w:rPr>
            <w:noProof/>
            <w:webHidden/>
          </w:rPr>
          <w:instrText xml:space="preserve"> PAGEREF _Toc495887806 \h </w:instrText>
        </w:r>
        <w:r w:rsidR="00B30913">
          <w:rPr>
            <w:noProof/>
            <w:webHidden/>
          </w:rPr>
        </w:r>
        <w:r w:rsidR="00B30913">
          <w:rPr>
            <w:noProof/>
            <w:webHidden/>
          </w:rPr>
          <w:fldChar w:fldCharType="separate"/>
        </w:r>
        <w:r w:rsidR="00B30913">
          <w:rPr>
            <w:noProof/>
            <w:webHidden/>
          </w:rPr>
          <w:t>48</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807" w:history="1">
        <w:r w:rsidR="00B30913" w:rsidRPr="000E0117">
          <w:rPr>
            <w:rStyle w:val="Hipercze"/>
            <w:noProof/>
          </w:rPr>
          <w:t>Tabela 18 Wskaźnik referencyjny oraz wskaźnik „Przyrost naturalny w przeliczeniu na 100 osób wg faktycznego miejsca zamieszkania” dla poszczególnych miejscowości</w:t>
        </w:r>
        <w:r w:rsidR="00B30913">
          <w:rPr>
            <w:noProof/>
            <w:webHidden/>
          </w:rPr>
          <w:tab/>
        </w:r>
        <w:r w:rsidR="00B30913">
          <w:rPr>
            <w:noProof/>
            <w:webHidden/>
          </w:rPr>
          <w:fldChar w:fldCharType="begin"/>
        </w:r>
        <w:r w:rsidR="00B30913">
          <w:rPr>
            <w:noProof/>
            <w:webHidden/>
          </w:rPr>
          <w:instrText xml:space="preserve"> PAGEREF _Toc495887807 \h </w:instrText>
        </w:r>
        <w:r w:rsidR="00B30913">
          <w:rPr>
            <w:noProof/>
            <w:webHidden/>
          </w:rPr>
        </w:r>
        <w:r w:rsidR="00B30913">
          <w:rPr>
            <w:noProof/>
            <w:webHidden/>
          </w:rPr>
          <w:fldChar w:fldCharType="separate"/>
        </w:r>
        <w:r w:rsidR="00B30913">
          <w:rPr>
            <w:noProof/>
            <w:webHidden/>
          </w:rPr>
          <w:t>49</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808" w:history="1">
        <w:r w:rsidR="00B30913" w:rsidRPr="000E0117">
          <w:rPr>
            <w:rStyle w:val="Hipercze"/>
            <w:noProof/>
          </w:rPr>
          <w:t>Tabela 19 Wskaźnik referencyjny oraz wskaźnik „Liczba długotrwale bezrobotnych w % bezrobotnych ogółem” dla poszczególnych miejscowości</w:t>
        </w:r>
        <w:r w:rsidR="00B30913">
          <w:rPr>
            <w:noProof/>
            <w:webHidden/>
          </w:rPr>
          <w:tab/>
        </w:r>
        <w:r w:rsidR="00B30913">
          <w:rPr>
            <w:noProof/>
            <w:webHidden/>
          </w:rPr>
          <w:fldChar w:fldCharType="begin"/>
        </w:r>
        <w:r w:rsidR="00B30913">
          <w:rPr>
            <w:noProof/>
            <w:webHidden/>
          </w:rPr>
          <w:instrText xml:space="preserve"> PAGEREF _Toc495887808 \h </w:instrText>
        </w:r>
        <w:r w:rsidR="00B30913">
          <w:rPr>
            <w:noProof/>
            <w:webHidden/>
          </w:rPr>
        </w:r>
        <w:r w:rsidR="00B30913">
          <w:rPr>
            <w:noProof/>
            <w:webHidden/>
          </w:rPr>
          <w:fldChar w:fldCharType="separate"/>
        </w:r>
        <w:r w:rsidR="00B30913">
          <w:rPr>
            <w:noProof/>
            <w:webHidden/>
          </w:rPr>
          <w:t>50</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809" w:history="1">
        <w:r w:rsidR="00B30913" w:rsidRPr="000E0117">
          <w:rPr>
            <w:rStyle w:val="Hipercze"/>
            <w:noProof/>
          </w:rPr>
          <w:t>Tabela 20 Wskaźnik referencyjny oraz wskaźnik „Udział bezrobotnych zarejestrowanych w liczbie ludności w wieku produkcyjnym wg miejsca zamieszkania” dla poszczególnych miejscowości</w:t>
        </w:r>
        <w:r w:rsidR="00B30913">
          <w:rPr>
            <w:noProof/>
            <w:webHidden/>
          </w:rPr>
          <w:tab/>
        </w:r>
        <w:r w:rsidR="00B30913">
          <w:rPr>
            <w:noProof/>
            <w:webHidden/>
          </w:rPr>
          <w:fldChar w:fldCharType="begin"/>
        </w:r>
        <w:r w:rsidR="00B30913">
          <w:rPr>
            <w:noProof/>
            <w:webHidden/>
          </w:rPr>
          <w:instrText xml:space="preserve"> PAGEREF _Toc495887809 \h </w:instrText>
        </w:r>
        <w:r w:rsidR="00B30913">
          <w:rPr>
            <w:noProof/>
            <w:webHidden/>
          </w:rPr>
        </w:r>
        <w:r w:rsidR="00B30913">
          <w:rPr>
            <w:noProof/>
            <w:webHidden/>
          </w:rPr>
          <w:fldChar w:fldCharType="separate"/>
        </w:r>
        <w:r w:rsidR="00B30913">
          <w:rPr>
            <w:noProof/>
            <w:webHidden/>
          </w:rPr>
          <w:t>51</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810" w:history="1">
        <w:r w:rsidR="00B30913" w:rsidRPr="000E0117">
          <w:rPr>
            <w:rStyle w:val="Hipercze"/>
            <w:noProof/>
          </w:rPr>
          <w:t>Tabela 21 Wskaźnik referencyjny oraz wskaźnik „Liczba osób korzystających ze świadczeń pomocy społecznej w przeliczeniu na 100 osób wg miejsca zamieszkania” dla poszczególnych miejscowości</w:t>
        </w:r>
        <w:r w:rsidR="00B30913">
          <w:rPr>
            <w:noProof/>
            <w:webHidden/>
          </w:rPr>
          <w:tab/>
        </w:r>
        <w:r w:rsidR="00B30913">
          <w:rPr>
            <w:noProof/>
            <w:webHidden/>
          </w:rPr>
          <w:fldChar w:fldCharType="begin"/>
        </w:r>
        <w:r w:rsidR="00B30913">
          <w:rPr>
            <w:noProof/>
            <w:webHidden/>
          </w:rPr>
          <w:instrText xml:space="preserve"> PAGEREF _Toc495887810 \h </w:instrText>
        </w:r>
        <w:r w:rsidR="00B30913">
          <w:rPr>
            <w:noProof/>
            <w:webHidden/>
          </w:rPr>
        </w:r>
        <w:r w:rsidR="00B30913">
          <w:rPr>
            <w:noProof/>
            <w:webHidden/>
          </w:rPr>
          <w:fldChar w:fldCharType="separate"/>
        </w:r>
        <w:r w:rsidR="00B30913">
          <w:rPr>
            <w:noProof/>
            <w:webHidden/>
          </w:rPr>
          <w:t>52</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811" w:history="1">
        <w:r w:rsidR="00B30913" w:rsidRPr="000E0117">
          <w:rPr>
            <w:rStyle w:val="Hipercze"/>
            <w:noProof/>
          </w:rPr>
          <w:t>Tabela 22 Wskaźnik referencyjny oraz wskaźnik „Liczba zarejestrowanych podmiotów gospodarczych w rejestrze REGON w przeliczeniu na 100 osób wg faktycznego miejsca zamieszkania - ogółem” dla poszczególnych miejscowości</w:t>
        </w:r>
        <w:r w:rsidR="00B30913">
          <w:rPr>
            <w:noProof/>
            <w:webHidden/>
          </w:rPr>
          <w:tab/>
        </w:r>
        <w:r w:rsidR="00B30913">
          <w:rPr>
            <w:noProof/>
            <w:webHidden/>
          </w:rPr>
          <w:fldChar w:fldCharType="begin"/>
        </w:r>
        <w:r w:rsidR="00B30913">
          <w:rPr>
            <w:noProof/>
            <w:webHidden/>
          </w:rPr>
          <w:instrText xml:space="preserve"> PAGEREF _Toc495887811 \h </w:instrText>
        </w:r>
        <w:r w:rsidR="00B30913">
          <w:rPr>
            <w:noProof/>
            <w:webHidden/>
          </w:rPr>
        </w:r>
        <w:r w:rsidR="00B30913">
          <w:rPr>
            <w:noProof/>
            <w:webHidden/>
          </w:rPr>
          <w:fldChar w:fldCharType="separate"/>
        </w:r>
        <w:r w:rsidR="00B30913">
          <w:rPr>
            <w:noProof/>
            <w:webHidden/>
          </w:rPr>
          <w:t>54</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812" w:history="1">
        <w:r w:rsidR="00B30913" w:rsidRPr="000E0117">
          <w:rPr>
            <w:rStyle w:val="Hipercze"/>
            <w:noProof/>
          </w:rPr>
          <w:t>Tabela 23 Dane dotyczące kategorii bezpieczeństwo publiczne</w:t>
        </w:r>
        <w:r w:rsidR="00B30913">
          <w:rPr>
            <w:noProof/>
            <w:webHidden/>
          </w:rPr>
          <w:tab/>
        </w:r>
        <w:r w:rsidR="00B30913">
          <w:rPr>
            <w:noProof/>
            <w:webHidden/>
          </w:rPr>
          <w:fldChar w:fldCharType="begin"/>
        </w:r>
        <w:r w:rsidR="00B30913">
          <w:rPr>
            <w:noProof/>
            <w:webHidden/>
          </w:rPr>
          <w:instrText xml:space="preserve"> PAGEREF _Toc495887812 \h </w:instrText>
        </w:r>
        <w:r w:rsidR="00B30913">
          <w:rPr>
            <w:noProof/>
            <w:webHidden/>
          </w:rPr>
        </w:r>
        <w:r w:rsidR="00B30913">
          <w:rPr>
            <w:noProof/>
            <w:webHidden/>
          </w:rPr>
          <w:fldChar w:fldCharType="separate"/>
        </w:r>
        <w:r w:rsidR="00B30913">
          <w:rPr>
            <w:noProof/>
            <w:webHidden/>
          </w:rPr>
          <w:t>56</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813" w:history="1">
        <w:r w:rsidR="00B30913" w:rsidRPr="000E0117">
          <w:rPr>
            <w:rStyle w:val="Hipercze"/>
            <w:noProof/>
          </w:rPr>
          <w:t>Tabela 24 Frekwencja w wyborach do organów jednostek samorządu terytorialnego 2014 (I tura)</w:t>
        </w:r>
        <w:r w:rsidR="00B30913">
          <w:rPr>
            <w:noProof/>
            <w:webHidden/>
          </w:rPr>
          <w:tab/>
        </w:r>
        <w:r w:rsidR="00B30913">
          <w:rPr>
            <w:noProof/>
            <w:webHidden/>
          </w:rPr>
          <w:fldChar w:fldCharType="begin"/>
        </w:r>
        <w:r w:rsidR="00B30913">
          <w:rPr>
            <w:noProof/>
            <w:webHidden/>
          </w:rPr>
          <w:instrText xml:space="preserve"> PAGEREF _Toc495887813 \h </w:instrText>
        </w:r>
        <w:r w:rsidR="00B30913">
          <w:rPr>
            <w:noProof/>
            <w:webHidden/>
          </w:rPr>
        </w:r>
        <w:r w:rsidR="00B30913">
          <w:rPr>
            <w:noProof/>
            <w:webHidden/>
          </w:rPr>
          <w:fldChar w:fldCharType="separate"/>
        </w:r>
        <w:r w:rsidR="00B30913">
          <w:rPr>
            <w:noProof/>
            <w:webHidden/>
          </w:rPr>
          <w:t>58</w:t>
        </w:r>
        <w:r w:rsidR="00B30913">
          <w:rPr>
            <w:noProof/>
            <w:webHidden/>
          </w:rPr>
          <w:fldChar w:fldCharType="end"/>
        </w:r>
      </w:hyperlink>
    </w:p>
    <w:p w:rsidR="00B30913" w:rsidRDefault="00172343">
      <w:pPr>
        <w:pStyle w:val="Spisilustracji"/>
        <w:tabs>
          <w:tab w:val="right" w:leader="dot" w:pos="9062"/>
        </w:tabs>
        <w:rPr>
          <w:rFonts w:eastAsiaTheme="minorEastAsia"/>
          <w:noProof/>
          <w:lang w:eastAsia="pl-PL"/>
        </w:rPr>
      </w:pPr>
      <w:hyperlink w:anchor="_Toc495887814" w:history="1">
        <w:r w:rsidR="00B30913" w:rsidRPr="000E0117">
          <w:rPr>
            <w:rStyle w:val="Hipercze"/>
            <w:noProof/>
          </w:rPr>
          <w:t>Tabela 25 Wskaźniki świadczące o sytuacji kryzysowej obszaru rewitalizacji na terenie Gminy Tryńcza</w:t>
        </w:r>
        <w:r w:rsidR="00B30913">
          <w:rPr>
            <w:noProof/>
            <w:webHidden/>
          </w:rPr>
          <w:tab/>
        </w:r>
        <w:r w:rsidR="00B30913">
          <w:rPr>
            <w:noProof/>
            <w:webHidden/>
          </w:rPr>
          <w:fldChar w:fldCharType="begin"/>
        </w:r>
        <w:r w:rsidR="00B30913">
          <w:rPr>
            <w:noProof/>
            <w:webHidden/>
          </w:rPr>
          <w:instrText xml:space="preserve"> PAGEREF _Toc495887814 \h </w:instrText>
        </w:r>
        <w:r w:rsidR="00B30913">
          <w:rPr>
            <w:noProof/>
            <w:webHidden/>
          </w:rPr>
        </w:r>
        <w:r w:rsidR="00B30913">
          <w:rPr>
            <w:noProof/>
            <w:webHidden/>
          </w:rPr>
          <w:fldChar w:fldCharType="separate"/>
        </w:r>
        <w:r w:rsidR="00B30913">
          <w:rPr>
            <w:noProof/>
            <w:webHidden/>
          </w:rPr>
          <w:t>63</w:t>
        </w:r>
        <w:r w:rsidR="00B30913">
          <w:rPr>
            <w:noProof/>
            <w:webHidden/>
          </w:rPr>
          <w:fldChar w:fldCharType="end"/>
        </w:r>
      </w:hyperlink>
    </w:p>
    <w:p w:rsidR="009C6581" w:rsidRDefault="007446A0" w:rsidP="00530737">
      <w:pPr>
        <w:sectPr w:rsidR="009C6581">
          <w:pgSz w:w="11906" w:h="16838"/>
          <w:pgMar w:top="1417" w:right="1417" w:bottom="1417" w:left="1417" w:header="708" w:footer="708" w:gutter="0"/>
          <w:cols w:space="708"/>
          <w:docGrid w:linePitch="360"/>
        </w:sectPr>
      </w:pPr>
      <w:r>
        <w:fldChar w:fldCharType="end"/>
      </w:r>
    </w:p>
    <w:p w:rsidR="00B30913" w:rsidRDefault="007446A0" w:rsidP="003A760F">
      <w:pPr>
        <w:jc w:val="both"/>
        <w:rPr>
          <w:noProof/>
        </w:rPr>
      </w:pPr>
      <w:bookmarkStart w:id="123" w:name="_Toc496558099"/>
      <w:r w:rsidRPr="007446A0">
        <w:rPr>
          <w:rStyle w:val="Nagwek2Znak"/>
        </w:rPr>
        <w:lastRenderedPageBreak/>
        <w:t>Spis wykresów</w:t>
      </w:r>
      <w:bookmarkEnd w:id="123"/>
      <w:r>
        <w:t>:</w:t>
      </w:r>
      <w:r>
        <w:fldChar w:fldCharType="begin"/>
      </w:r>
      <w:r>
        <w:instrText xml:space="preserve"> TOC \h \z \c "Wykres" </w:instrText>
      </w:r>
      <w:r>
        <w:fldChar w:fldCharType="separate"/>
      </w:r>
    </w:p>
    <w:p w:rsidR="00B30913" w:rsidRDefault="00172343" w:rsidP="003A760F">
      <w:pPr>
        <w:pStyle w:val="Spisilustracji"/>
        <w:tabs>
          <w:tab w:val="right" w:leader="dot" w:pos="9062"/>
        </w:tabs>
        <w:jc w:val="both"/>
        <w:rPr>
          <w:rFonts w:eastAsiaTheme="minorEastAsia"/>
          <w:noProof/>
          <w:lang w:eastAsia="pl-PL"/>
        </w:rPr>
      </w:pPr>
      <w:hyperlink w:anchor="_Toc495887815" w:history="1">
        <w:r w:rsidR="00B30913" w:rsidRPr="00710239">
          <w:rPr>
            <w:rStyle w:val="Hipercze"/>
            <w:noProof/>
          </w:rPr>
          <w:t>Wykres 1 Liczba ludności gminy Tryńcza w latach 2006-2015</w:t>
        </w:r>
        <w:r w:rsidR="00B30913">
          <w:rPr>
            <w:noProof/>
            <w:webHidden/>
          </w:rPr>
          <w:tab/>
        </w:r>
        <w:r w:rsidR="00B30913">
          <w:rPr>
            <w:noProof/>
            <w:webHidden/>
          </w:rPr>
          <w:fldChar w:fldCharType="begin"/>
        </w:r>
        <w:r w:rsidR="00B30913">
          <w:rPr>
            <w:noProof/>
            <w:webHidden/>
          </w:rPr>
          <w:instrText xml:space="preserve"> PAGEREF _Toc495887815 \h </w:instrText>
        </w:r>
        <w:r w:rsidR="00B30913">
          <w:rPr>
            <w:noProof/>
            <w:webHidden/>
          </w:rPr>
        </w:r>
        <w:r w:rsidR="00B30913">
          <w:rPr>
            <w:noProof/>
            <w:webHidden/>
          </w:rPr>
          <w:fldChar w:fldCharType="separate"/>
        </w:r>
        <w:r w:rsidR="00B30913">
          <w:rPr>
            <w:noProof/>
            <w:webHidden/>
          </w:rPr>
          <w:t>7</w:t>
        </w:r>
        <w:r w:rsidR="00B30913">
          <w:rPr>
            <w:noProof/>
            <w:webHidden/>
          </w:rPr>
          <w:fldChar w:fldCharType="end"/>
        </w:r>
      </w:hyperlink>
    </w:p>
    <w:p w:rsidR="00B30913" w:rsidRDefault="00172343" w:rsidP="003A760F">
      <w:pPr>
        <w:pStyle w:val="Spisilustracji"/>
        <w:tabs>
          <w:tab w:val="right" w:leader="dot" w:pos="9062"/>
        </w:tabs>
        <w:jc w:val="both"/>
        <w:rPr>
          <w:rFonts w:eastAsiaTheme="minorEastAsia"/>
          <w:noProof/>
          <w:lang w:eastAsia="pl-PL"/>
        </w:rPr>
      </w:pPr>
      <w:hyperlink w:anchor="_Toc495887816" w:history="1">
        <w:r w:rsidR="00B30913" w:rsidRPr="00710239">
          <w:rPr>
            <w:rStyle w:val="Hipercze"/>
            <w:noProof/>
          </w:rPr>
          <w:t>Wykres 2 Struktura wieku mieszkańców Gminy Tryńcza w 2006 i 2015 roku.</w:t>
        </w:r>
        <w:r w:rsidR="00B30913">
          <w:rPr>
            <w:noProof/>
            <w:webHidden/>
          </w:rPr>
          <w:tab/>
        </w:r>
        <w:r w:rsidR="00B30913">
          <w:rPr>
            <w:noProof/>
            <w:webHidden/>
          </w:rPr>
          <w:fldChar w:fldCharType="begin"/>
        </w:r>
        <w:r w:rsidR="00B30913">
          <w:rPr>
            <w:noProof/>
            <w:webHidden/>
          </w:rPr>
          <w:instrText xml:space="preserve"> PAGEREF _Toc495887816 \h </w:instrText>
        </w:r>
        <w:r w:rsidR="00B30913">
          <w:rPr>
            <w:noProof/>
            <w:webHidden/>
          </w:rPr>
        </w:r>
        <w:r w:rsidR="00B30913">
          <w:rPr>
            <w:noProof/>
            <w:webHidden/>
          </w:rPr>
          <w:fldChar w:fldCharType="separate"/>
        </w:r>
        <w:r w:rsidR="00B30913">
          <w:rPr>
            <w:noProof/>
            <w:webHidden/>
          </w:rPr>
          <w:t>8</w:t>
        </w:r>
        <w:r w:rsidR="00B30913">
          <w:rPr>
            <w:noProof/>
            <w:webHidden/>
          </w:rPr>
          <w:fldChar w:fldCharType="end"/>
        </w:r>
      </w:hyperlink>
    </w:p>
    <w:p w:rsidR="00B30913" w:rsidRDefault="00172343" w:rsidP="003A760F">
      <w:pPr>
        <w:pStyle w:val="Spisilustracji"/>
        <w:tabs>
          <w:tab w:val="right" w:leader="dot" w:pos="9062"/>
        </w:tabs>
        <w:jc w:val="both"/>
        <w:rPr>
          <w:rFonts w:eastAsiaTheme="minorEastAsia"/>
          <w:noProof/>
          <w:lang w:eastAsia="pl-PL"/>
        </w:rPr>
      </w:pPr>
      <w:hyperlink w:anchor="_Toc495887817" w:history="1">
        <w:r w:rsidR="00B30913" w:rsidRPr="00710239">
          <w:rPr>
            <w:rStyle w:val="Hipercze"/>
            <w:noProof/>
          </w:rPr>
          <w:t>Wykres 3 Wskaźnik obciążenia demograficznego.</w:t>
        </w:r>
        <w:r w:rsidR="00B30913">
          <w:rPr>
            <w:noProof/>
            <w:webHidden/>
          </w:rPr>
          <w:tab/>
        </w:r>
        <w:r w:rsidR="00B30913">
          <w:rPr>
            <w:noProof/>
            <w:webHidden/>
          </w:rPr>
          <w:fldChar w:fldCharType="begin"/>
        </w:r>
        <w:r w:rsidR="00B30913">
          <w:rPr>
            <w:noProof/>
            <w:webHidden/>
          </w:rPr>
          <w:instrText xml:space="preserve"> PAGEREF _Toc495887817 \h </w:instrText>
        </w:r>
        <w:r w:rsidR="00B30913">
          <w:rPr>
            <w:noProof/>
            <w:webHidden/>
          </w:rPr>
        </w:r>
        <w:r w:rsidR="00B30913">
          <w:rPr>
            <w:noProof/>
            <w:webHidden/>
          </w:rPr>
          <w:fldChar w:fldCharType="separate"/>
        </w:r>
        <w:r w:rsidR="00B30913">
          <w:rPr>
            <w:noProof/>
            <w:webHidden/>
          </w:rPr>
          <w:t>8</w:t>
        </w:r>
        <w:r w:rsidR="00B30913">
          <w:rPr>
            <w:noProof/>
            <w:webHidden/>
          </w:rPr>
          <w:fldChar w:fldCharType="end"/>
        </w:r>
      </w:hyperlink>
    </w:p>
    <w:p w:rsidR="00B30913" w:rsidRDefault="00172343" w:rsidP="003A760F">
      <w:pPr>
        <w:pStyle w:val="Spisilustracji"/>
        <w:tabs>
          <w:tab w:val="right" w:leader="dot" w:pos="9062"/>
        </w:tabs>
        <w:jc w:val="both"/>
        <w:rPr>
          <w:rFonts w:eastAsiaTheme="minorEastAsia"/>
          <w:noProof/>
          <w:lang w:eastAsia="pl-PL"/>
        </w:rPr>
      </w:pPr>
      <w:hyperlink w:anchor="_Toc495887818" w:history="1">
        <w:r w:rsidR="00B30913" w:rsidRPr="00710239">
          <w:rPr>
            <w:rStyle w:val="Hipercze"/>
            <w:noProof/>
          </w:rPr>
          <w:t>Wykres 4 Bezrobotni zarejestrowani w latach 2006-2016</w:t>
        </w:r>
        <w:r w:rsidR="00B30913">
          <w:rPr>
            <w:noProof/>
            <w:webHidden/>
          </w:rPr>
          <w:tab/>
        </w:r>
        <w:r w:rsidR="00B30913">
          <w:rPr>
            <w:noProof/>
            <w:webHidden/>
          </w:rPr>
          <w:fldChar w:fldCharType="begin"/>
        </w:r>
        <w:r w:rsidR="00B30913">
          <w:rPr>
            <w:noProof/>
            <w:webHidden/>
          </w:rPr>
          <w:instrText xml:space="preserve"> PAGEREF _Toc495887818 \h </w:instrText>
        </w:r>
        <w:r w:rsidR="00B30913">
          <w:rPr>
            <w:noProof/>
            <w:webHidden/>
          </w:rPr>
        </w:r>
        <w:r w:rsidR="00B30913">
          <w:rPr>
            <w:noProof/>
            <w:webHidden/>
          </w:rPr>
          <w:fldChar w:fldCharType="separate"/>
        </w:r>
        <w:r w:rsidR="00B30913">
          <w:rPr>
            <w:noProof/>
            <w:webHidden/>
          </w:rPr>
          <w:t>10</w:t>
        </w:r>
        <w:r w:rsidR="00B30913">
          <w:rPr>
            <w:noProof/>
            <w:webHidden/>
          </w:rPr>
          <w:fldChar w:fldCharType="end"/>
        </w:r>
      </w:hyperlink>
    </w:p>
    <w:p w:rsidR="00B30913" w:rsidRDefault="00172343" w:rsidP="003A760F">
      <w:pPr>
        <w:pStyle w:val="Spisilustracji"/>
        <w:tabs>
          <w:tab w:val="right" w:leader="dot" w:pos="9062"/>
        </w:tabs>
        <w:jc w:val="both"/>
        <w:rPr>
          <w:rFonts w:eastAsiaTheme="minorEastAsia"/>
          <w:noProof/>
          <w:lang w:eastAsia="pl-PL"/>
        </w:rPr>
      </w:pPr>
      <w:hyperlink w:anchor="_Toc495887819" w:history="1">
        <w:r w:rsidR="00B30913" w:rsidRPr="00710239">
          <w:rPr>
            <w:rStyle w:val="Hipercze"/>
            <w:noProof/>
          </w:rPr>
          <w:t>Wykres 5 Liczba osób pracujących na terenie gminy Tryńcza w latach 2006-2016</w:t>
        </w:r>
        <w:r w:rsidR="00B30913">
          <w:rPr>
            <w:noProof/>
            <w:webHidden/>
          </w:rPr>
          <w:tab/>
        </w:r>
        <w:r w:rsidR="00B30913">
          <w:rPr>
            <w:noProof/>
            <w:webHidden/>
          </w:rPr>
          <w:fldChar w:fldCharType="begin"/>
        </w:r>
        <w:r w:rsidR="00B30913">
          <w:rPr>
            <w:noProof/>
            <w:webHidden/>
          </w:rPr>
          <w:instrText xml:space="preserve"> PAGEREF _Toc495887819 \h </w:instrText>
        </w:r>
        <w:r w:rsidR="00B30913">
          <w:rPr>
            <w:noProof/>
            <w:webHidden/>
          </w:rPr>
        </w:r>
        <w:r w:rsidR="00B30913">
          <w:rPr>
            <w:noProof/>
            <w:webHidden/>
          </w:rPr>
          <w:fldChar w:fldCharType="separate"/>
        </w:r>
        <w:r w:rsidR="00B30913">
          <w:rPr>
            <w:noProof/>
            <w:webHidden/>
          </w:rPr>
          <w:t>10</w:t>
        </w:r>
        <w:r w:rsidR="00B30913">
          <w:rPr>
            <w:noProof/>
            <w:webHidden/>
          </w:rPr>
          <w:fldChar w:fldCharType="end"/>
        </w:r>
      </w:hyperlink>
    </w:p>
    <w:p w:rsidR="00B30913" w:rsidRDefault="00172343" w:rsidP="003A760F">
      <w:pPr>
        <w:pStyle w:val="Spisilustracji"/>
        <w:tabs>
          <w:tab w:val="right" w:leader="dot" w:pos="9062"/>
        </w:tabs>
        <w:jc w:val="both"/>
        <w:rPr>
          <w:rFonts w:eastAsiaTheme="minorEastAsia"/>
          <w:noProof/>
          <w:lang w:eastAsia="pl-PL"/>
        </w:rPr>
      </w:pPr>
      <w:hyperlink w:anchor="_Toc495887820" w:history="1">
        <w:r w:rsidR="00B30913" w:rsidRPr="00710239">
          <w:rPr>
            <w:rStyle w:val="Hipercze"/>
            <w:noProof/>
          </w:rPr>
          <w:t>Wykres 6 Liczba podmiotów gospodarki narodowej na terenie gminy Tryńcza w latach 2006-2016</w:t>
        </w:r>
        <w:r w:rsidR="00B30913">
          <w:rPr>
            <w:noProof/>
            <w:webHidden/>
          </w:rPr>
          <w:tab/>
        </w:r>
        <w:r w:rsidR="00B30913">
          <w:rPr>
            <w:noProof/>
            <w:webHidden/>
          </w:rPr>
          <w:fldChar w:fldCharType="begin"/>
        </w:r>
        <w:r w:rsidR="00B30913">
          <w:rPr>
            <w:noProof/>
            <w:webHidden/>
          </w:rPr>
          <w:instrText xml:space="preserve"> PAGEREF _Toc495887820 \h </w:instrText>
        </w:r>
        <w:r w:rsidR="00B30913">
          <w:rPr>
            <w:noProof/>
            <w:webHidden/>
          </w:rPr>
        </w:r>
        <w:r w:rsidR="00B30913">
          <w:rPr>
            <w:noProof/>
            <w:webHidden/>
          </w:rPr>
          <w:fldChar w:fldCharType="separate"/>
        </w:r>
        <w:r w:rsidR="00B30913">
          <w:rPr>
            <w:noProof/>
            <w:webHidden/>
          </w:rPr>
          <w:t>11</w:t>
        </w:r>
        <w:r w:rsidR="00B30913">
          <w:rPr>
            <w:noProof/>
            <w:webHidden/>
          </w:rPr>
          <w:fldChar w:fldCharType="end"/>
        </w:r>
      </w:hyperlink>
    </w:p>
    <w:p w:rsidR="00B30913" w:rsidRDefault="00172343" w:rsidP="003A760F">
      <w:pPr>
        <w:pStyle w:val="Spisilustracji"/>
        <w:tabs>
          <w:tab w:val="right" w:leader="dot" w:pos="9062"/>
        </w:tabs>
        <w:jc w:val="both"/>
        <w:rPr>
          <w:rFonts w:eastAsiaTheme="minorEastAsia"/>
          <w:noProof/>
          <w:lang w:eastAsia="pl-PL"/>
        </w:rPr>
      </w:pPr>
      <w:hyperlink w:anchor="_Toc495887821" w:history="1">
        <w:r w:rsidR="00B30913" w:rsidRPr="00710239">
          <w:rPr>
            <w:rStyle w:val="Hipercze"/>
            <w:noProof/>
          </w:rPr>
          <w:t>Wykres 7  Gospodarstwa domowe korzystające ze środowiskowej pomocy społecznej wg kryterium dochodowego</w:t>
        </w:r>
        <w:r w:rsidR="00B30913">
          <w:rPr>
            <w:noProof/>
            <w:webHidden/>
          </w:rPr>
          <w:tab/>
        </w:r>
        <w:r w:rsidR="00B30913">
          <w:rPr>
            <w:noProof/>
            <w:webHidden/>
          </w:rPr>
          <w:fldChar w:fldCharType="begin"/>
        </w:r>
        <w:r w:rsidR="00B30913">
          <w:rPr>
            <w:noProof/>
            <w:webHidden/>
          </w:rPr>
          <w:instrText xml:space="preserve"> PAGEREF _Toc495887821 \h </w:instrText>
        </w:r>
        <w:r w:rsidR="00B30913">
          <w:rPr>
            <w:noProof/>
            <w:webHidden/>
          </w:rPr>
        </w:r>
        <w:r w:rsidR="00B30913">
          <w:rPr>
            <w:noProof/>
            <w:webHidden/>
          </w:rPr>
          <w:fldChar w:fldCharType="separate"/>
        </w:r>
        <w:r w:rsidR="00B30913">
          <w:rPr>
            <w:noProof/>
            <w:webHidden/>
          </w:rPr>
          <w:t>13</w:t>
        </w:r>
        <w:r w:rsidR="00B30913">
          <w:rPr>
            <w:noProof/>
            <w:webHidden/>
          </w:rPr>
          <w:fldChar w:fldCharType="end"/>
        </w:r>
      </w:hyperlink>
    </w:p>
    <w:p w:rsidR="00B30913" w:rsidRDefault="00172343" w:rsidP="003A760F">
      <w:pPr>
        <w:pStyle w:val="Spisilustracji"/>
        <w:tabs>
          <w:tab w:val="right" w:leader="dot" w:pos="9062"/>
        </w:tabs>
        <w:jc w:val="both"/>
        <w:rPr>
          <w:rFonts w:eastAsiaTheme="minorEastAsia"/>
          <w:noProof/>
          <w:lang w:eastAsia="pl-PL"/>
        </w:rPr>
      </w:pPr>
      <w:hyperlink w:anchor="_Toc495887822" w:history="1">
        <w:r w:rsidR="00B30913" w:rsidRPr="00710239">
          <w:rPr>
            <w:rStyle w:val="Hipercze"/>
            <w:noProof/>
          </w:rPr>
          <w:t>Wykres 8 Osoby korzystające ze środowiskowej pomocy społecznej wg kryterium dochodowego</w:t>
        </w:r>
        <w:r w:rsidR="00B30913">
          <w:rPr>
            <w:noProof/>
            <w:webHidden/>
          </w:rPr>
          <w:tab/>
        </w:r>
        <w:r w:rsidR="00B30913">
          <w:rPr>
            <w:noProof/>
            <w:webHidden/>
          </w:rPr>
          <w:fldChar w:fldCharType="begin"/>
        </w:r>
        <w:r w:rsidR="00B30913">
          <w:rPr>
            <w:noProof/>
            <w:webHidden/>
          </w:rPr>
          <w:instrText xml:space="preserve"> PAGEREF _Toc495887822 \h </w:instrText>
        </w:r>
        <w:r w:rsidR="00B30913">
          <w:rPr>
            <w:noProof/>
            <w:webHidden/>
          </w:rPr>
        </w:r>
        <w:r w:rsidR="00B30913">
          <w:rPr>
            <w:noProof/>
            <w:webHidden/>
          </w:rPr>
          <w:fldChar w:fldCharType="separate"/>
        </w:r>
        <w:r w:rsidR="00B30913">
          <w:rPr>
            <w:noProof/>
            <w:webHidden/>
          </w:rPr>
          <w:t>13</w:t>
        </w:r>
        <w:r w:rsidR="00B30913">
          <w:rPr>
            <w:noProof/>
            <w:webHidden/>
          </w:rPr>
          <w:fldChar w:fldCharType="end"/>
        </w:r>
      </w:hyperlink>
    </w:p>
    <w:p w:rsidR="00B30913" w:rsidRDefault="00172343" w:rsidP="003A760F">
      <w:pPr>
        <w:pStyle w:val="Spisilustracji"/>
        <w:tabs>
          <w:tab w:val="right" w:leader="dot" w:pos="9062"/>
        </w:tabs>
        <w:jc w:val="both"/>
        <w:rPr>
          <w:rFonts w:eastAsiaTheme="minorEastAsia"/>
          <w:noProof/>
          <w:lang w:eastAsia="pl-PL"/>
        </w:rPr>
      </w:pPr>
      <w:hyperlink w:anchor="_Toc495887823" w:history="1">
        <w:r w:rsidR="00B30913" w:rsidRPr="00710239">
          <w:rPr>
            <w:rStyle w:val="Hipercze"/>
            <w:noProof/>
          </w:rPr>
          <w:t>Wykres 9 Korzystający ze świadczeń rodzinnych  Źródło: Opracowanie własne na podstawie danych na podstawie danych GUS – przekroje terytorialne BDL</w:t>
        </w:r>
        <w:r w:rsidR="00B30913">
          <w:rPr>
            <w:noProof/>
            <w:webHidden/>
          </w:rPr>
          <w:tab/>
        </w:r>
        <w:r w:rsidR="00B30913">
          <w:rPr>
            <w:noProof/>
            <w:webHidden/>
          </w:rPr>
          <w:fldChar w:fldCharType="begin"/>
        </w:r>
        <w:r w:rsidR="00B30913">
          <w:rPr>
            <w:noProof/>
            <w:webHidden/>
          </w:rPr>
          <w:instrText xml:space="preserve"> PAGEREF _Toc495887823 \h </w:instrText>
        </w:r>
        <w:r w:rsidR="00B30913">
          <w:rPr>
            <w:noProof/>
            <w:webHidden/>
          </w:rPr>
        </w:r>
        <w:r w:rsidR="00B30913">
          <w:rPr>
            <w:noProof/>
            <w:webHidden/>
          </w:rPr>
          <w:fldChar w:fldCharType="separate"/>
        </w:r>
        <w:r w:rsidR="00B30913">
          <w:rPr>
            <w:noProof/>
            <w:webHidden/>
          </w:rPr>
          <w:t>14</w:t>
        </w:r>
        <w:r w:rsidR="00B30913">
          <w:rPr>
            <w:noProof/>
            <w:webHidden/>
          </w:rPr>
          <w:fldChar w:fldCharType="end"/>
        </w:r>
      </w:hyperlink>
    </w:p>
    <w:p w:rsidR="00B30913" w:rsidRDefault="00172343" w:rsidP="003A760F">
      <w:pPr>
        <w:pStyle w:val="Spisilustracji"/>
        <w:tabs>
          <w:tab w:val="right" w:leader="dot" w:pos="9062"/>
        </w:tabs>
        <w:jc w:val="both"/>
        <w:rPr>
          <w:rFonts w:eastAsiaTheme="minorEastAsia"/>
          <w:noProof/>
          <w:lang w:eastAsia="pl-PL"/>
        </w:rPr>
      </w:pPr>
      <w:hyperlink w:anchor="_Toc495887824" w:history="1">
        <w:r w:rsidR="00B30913" w:rsidRPr="00710239">
          <w:rPr>
            <w:rStyle w:val="Hipercze"/>
            <w:noProof/>
          </w:rPr>
          <w:t>Wykres 10 udział dzieci w wieku do lat 17, na które rodzice otrzymują zasiłek rodzinny w ogólnej liczbie dzieci w tym wieku</w:t>
        </w:r>
        <w:r w:rsidR="00B30913">
          <w:rPr>
            <w:noProof/>
            <w:webHidden/>
          </w:rPr>
          <w:tab/>
        </w:r>
        <w:r w:rsidR="00B30913">
          <w:rPr>
            <w:noProof/>
            <w:webHidden/>
          </w:rPr>
          <w:fldChar w:fldCharType="begin"/>
        </w:r>
        <w:r w:rsidR="00B30913">
          <w:rPr>
            <w:noProof/>
            <w:webHidden/>
          </w:rPr>
          <w:instrText xml:space="preserve"> PAGEREF _Toc495887824 \h </w:instrText>
        </w:r>
        <w:r w:rsidR="00B30913">
          <w:rPr>
            <w:noProof/>
            <w:webHidden/>
          </w:rPr>
        </w:r>
        <w:r w:rsidR="00B30913">
          <w:rPr>
            <w:noProof/>
            <w:webHidden/>
          </w:rPr>
          <w:fldChar w:fldCharType="separate"/>
        </w:r>
        <w:r w:rsidR="00B30913">
          <w:rPr>
            <w:noProof/>
            <w:webHidden/>
          </w:rPr>
          <w:t>15</w:t>
        </w:r>
        <w:r w:rsidR="00B30913">
          <w:rPr>
            <w:noProof/>
            <w:webHidden/>
          </w:rPr>
          <w:fldChar w:fldCharType="end"/>
        </w:r>
      </w:hyperlink>
    </w:p>
    <w:p w:rsidR="00B30913" w:rsidRDefault="00172343" w:rsidP="003A760F">
      <w:pPr>
        <w:pStyle w:val="Spisilustracji"/>
        <w:tabs>
          <w:tab w:val="right" w:leader="dot" w:pos="9062"/>
        </w:tabs>
        <w:jc w:val="both"/>
        <w:rPr>
          <w:rFonts w:eastAsiaTheme="minorEastAsia"/>
          <w:noProof/>
          <w:lang w:eastAsia="pl-PL"/>
        </w:rPr>
      </w:pPr>
      <w:hyperlink w:anchor="_Toc495887825" w:history="1">
        <w:r w:rsidR="00B30913" w:rsidRPr="00710239">
          <w:rPr>
            <w:rStyle w:val="Hipercze"/>
            <w:noProof/>
          </w:rPr>
          <w:t>Wykres 11 Wydatki budżetu gminy Tryńcza w dziale 852 pomoc społeczna w latach 2012-2016</w:t>
        </w:r>
        <w:r w:rsidR="00B30913">
          <w:rPr>
            <w:noProof/>
            <w:webHidden/>
          </w:rPr>
          <w:tab/>
        </w:r>
        <w:r w:rsidR="00B30913">
          <w:rPr>
            <w:noProof/>
            <w:webHidden/>
          </w:rPr>
          <w:fldChar w:fldCharType="begin"/>
        </w:r>
        <w:r w:rsidR="00B30913">
          <w:rPr>
            <w:noProof/>
            <w:webHidden/>
          </w:rPr>
          <w:instrText xml:space="preserve"> PAGEREF _Toc495887825 \h </w:instrText>
        </w:r>
        <w:r w:rsidR="00B30913">
          <w:rPr>
            <w:noProof/>
            <w:webHidden/>
          </w:rPr>
        </w:r>
        <w:r w:rsidR="00B30913">
          <w:rPr>
            <w:noProof/>
            <w:webHidden/>
          </w:rPr>
          <w:fldChar w:fldCharType="separate"/>
        </w:r>
        <w:r w:rsidR="00B30913">
          <w:rPr>
            <w:noProof/>
            <w:webHidden/>
          </w:rPr>
          <w:t>16</w:t>
        </w:r>
        <w:r w:rsidR="00B30913">
          <w:rPr>
            <w:noProof/>
            <w:webHidden/>
          </w:rPr>
          <w:fldChar w:fldCharType="end"/>
        </w:r>
      </w:hyperlink>
    </w:p>
    <w:p w:rsidR="00B30913" w:rsidRDefault="00172343" w:rsidP="003A760F">
      <w:pPr>
        <w:pStyle w:val="Spisilustracji"/>
        <w:tabs>
          <w:tab w:val="right" w:leader="dot" w:pos="9062"/>
        </w:tabs>
        <w:jc w:val="both"/>
        <w:rPr>
          <w:rFonts w:eastAsiaTheme="minorEastAsia"/>
          <w:noProof/>
          <w:lang w:eastAsia="pl-PL"/>
        </w:rPr>
      </w:pPr>
      <w:hyperlink w:anchor="_Toc495887826" w:history="1">
        <w:r w:rsidR="00B30913" w:rsidRPr="00710239">
          <w:rPr>
            <w:rStyle w:val="Hipercze"/>
            <w:noProof/>
          </w:rPr>
          <w:t>Wykres 12 Korzystający z instalacji w procencie ogółu ludności gminy Tryńcza w latach 2010-2015</w:t>
        </w:r>
        <w:r w:rsidR="00B30913">
          <w:rPr>
            <w:noProof/>
            <w:webHidden/>
          </w:rPr>
          <w:tab/>
        </w:r>
        <w:r w:rsidR="00B30913">
          <w:rPr>
            <w:noProof/>
            <w:webHidden/>
          </w:rPr>
          <w:fldChar w:fldCharType="begin"/>
        </w:r>
        <w:r w:rsidR="00B30913">
          <w:rPr>
            <w:noProof/>
            <w:webHidden/>
          </w:rPr>
          <w:instrText xml:space="preserve"> PAGEREF _Toc495887826 \h </w:instrText>
        </w:r>
        <w:r w:rsidR="00B30913">
          <w:rPr>
            <w:noProof/>
            <w:webHidden/>
          </w:rPr>
        </w:r>
        <w:r w:rsidR="00B30913">
          <w:rPr>
            <w:noProof/>
            <w:webHidden/>
          </w:rPr>
          <w:fldChar w:fldCharType="separate"/>
        </w:r>
        <w:r w:rsidR="00B30913">
          <w:rPr>
            <w:noProof/>
            <w:webHidden/>
          </w:rPr>
          <w:t>18</w:t>
        </w:r>
        <w:r w:rsidR="00B30913">
          <w:rPr>
            <w:noProof/>
            <w:webHidden/>
          </w:rPr>
          <w:fldChar w:fldCharType="end"/>
        </w:r>
      </w:hyperlink>
    </w:p>
    <w:p w:rsidR="00B30913" w:rsidRDefault="00172343" w:rsidP="003A760F">
      <w:pPr>
        <w:pStyle w:val="Spisilustracji"/>
        <w:tabs>
          <w:tab w:val="right" w:leader="dot" w:pos="9062"/>
        </w:tabs>
        <w:jc w:val="both"/>
        <w:rPr>
          <w:rFonts w:eastAsiaTheme="minorEastAsia"/>
          <w:noProof/>
          <w:lang w:eastAsia="pl-PL"/>
        </w:rPr>
      </w:pPr>
      <w:hyperlink w:anchor="_Toc495887827" w:history="1">
        <w:r w:rsidR="00B30913" w:rsidRPr="00710239">
          <w:rPr>
            <w:rStyle w:val="Hipercze"/>
            <w:noProof/>
          </w:rPr>
          <w:t>Wykres 13 Budownictwo mieszkaniowe w podziale na rodzaj budynków mieszkalnych</w:t>
        </w:r>
        <w:r w:rsidR="00B30913">
          <w:rPr>
            <w:noProof/>
            <w:webHidden/>
          </w:rPr>
          <w:tab/>
        </w:r>
        <w:r w:rsidR="00B30913">
          <w:rPr>
            <w:noProof/>
            <w:webHidden/>
          </w:rPr>
          <w:fldChar w:fldCharType="begin"/>
        </w:r>
        <w:r w:rsidR="00B30913">
          <w:rPr>
            <w:noProof/>
            <w:webHidden/>
          </w:rPr>
          <w:instrText xml:space="preserve"> PAGEREF _Toc495887827 \h </w:instrText>
        </w:r>
        <w:r w:rsidR="00B30913">
          <w:rPr>
            <w:noProof/>
            <w:webHidden/>
          </w:rPr>
        </w:r>
        <w:r w:rsidR="00B30913">
          <w:rPr>
            <w:noProof/>
            <w:webHidden/>
          </w:rPr>
          <w:fldChar w:fldCharType="separate"/>
        </w:r>
        <w:r w:rsidR="00B30913">
          <w:rPr>
            <w:noProof/>
            <w:webHidden/>
          </w:rPr>
          <w:t>30</w:t>
        </w:r>
        <w:r w:rsidR="00B30913">
          <w:rPr>
            <w:noProof/>
            <w:webHidden/>
          </w:rPr>
          <w:fldChar w:fldCharType="end"/>
        </w:r>
      </w:hyperlink>
    </w:p>
    <w:p w:rsidR="00B30913" w:rsidRDefault="00172343" w:rsidP="003A760F">
      <w:pPr>
        <w:pStyle w:val="Spisilustracji"/>
        <w:tabs>
          <w:tab w:val="right" w:leader="dot" w:pos="9062"/>
        </w:tabs>
        <w:jc w:val="both"/>
        <w:rPr>
          <w:rFonts w:eastAsiaTheme="minorEastAsia"/>
          <w:noProof/>
          <w:lang w:eastAsia="pl-PL"/>
        </w:rPr>
      </w:pPr>
      <w:hyperlink w:anchor="_Toc495887828" w:history="1">
        <w:r w:rsidR="00B30913" w:rsidRPr="00710239">
          <w:rPr>
            <w:rStyle w:val="Hipercze"/>
            <w:noProof/>
          </w:rPr>
          <w:t>Wykres 14 Budownictwo mieszkaniowe w podziale na liczbę kondygnacji</w:t>
        </w:r>
        <w:r w:rsidR="00B30913">
          <w:rPr>
            <w:noProof/>
            <w:webHidden/>
          </w:rPr>
          <w:tab/>
        </w:r>
        <w:r w:rsidR="00B30913">
          <w:rPr>
            <w:noProof/>
            <w:webHidden/>
          </w:rPr>
          <w:fldChar w:fldCharType="begin"/>
        </w:r>
        <w:r w:rsidR="00B30913">
          <w:rPr>
            <w:noProof/>
            <w:webHidden/>
          </w:rPr>
          <w:instrText xml:space="preserve"> PAGEREF _Toc495887828 \h </w:instrText>
        </w:r>
        <w:r w:rsidR="00B30913">
          <w:rPr>
            <w:noProof/>
            <w:webHidden/>
          </w:rPr>
        </w:r>
        <w:r w:rsidR="00B30913">
          <w:rPr>
            <w:noProof/>
            <w:webHidden/>
          </w:rPr>
          <w:fldChar w:fldCharType="separate"/>
        </w:r>
        <w:r w:rsidR="00B30913">
          <w:rPr>
            <w:noProof/>
            <w:webHidden/>
          </w:rPr>
          <w:t>31</w:t>
        </w:r>
        <w:r w:rsidR="00B30913">
          <w:rPr>
            <w:noProof/>
            <w:webHidden/>
          </w:rPr>
          <w:fldChar w:fldCharType="end"/>
        </w:r>
      </w:hyperlink>
    </w:p>
    <w:p w:rsidR="00B30913" w:rsidRDefault="00172343" w:rsidP="003A760F">
      <w:pPr>
        <w:pStyle w:val="Spisilustracji"/>
        <w:tabs>
          <w:tab w:val="right" w:leader="dot" w:pos="9062"/>
        </w:tabs>
        <w:jc w:val="both"/>
        <w:rPr>
          <w:rFonts w:eastAsiaTheme="minorEastAsia"/>
          <w:noProof/>
          <w:lang w:eastAsia="pl-PL"/>
        </w:rPr>
      </w:pPr>
      <w:hyperlink w:anchor="_Toc495887829" w:history="1">
        <w:r w:rsidR="00B30913" w:rsidRPr="00710239">
          <w:rPr>
            <w:rStyle w:val="Hipercze"/>
            <w:noProof/>
          </w:rPr>
          <w:t>Wykres 15 Budownictwo mieszkaniowe w podziale na powierzchnię użytkową</w:t>
        </w:r>
        <w:r w:rsidR="00B30913">
          <w:rPr>
            <w:noProof/>
            <w:webHidden/>
          </w:rPr>
          <w:tab/>
        </w:r>
        <w:r w:rsidR="00B30913">
          <w:rPr>
            <w:noProof/>
            <w:webHidden/>
          </w:rPr>
          <w:fldChar w:fldCharType="begin"/>
        </w:r>
        <w:r w:rsidR="00B30913">
          <w:rPr>
            <w:noProof/>
            <w:webHidden/>
          </w:rPr>
          <w:instrText xml:space="preserve"> PAGEREF _Toc495887829 \h </w:instrText>
        </w:r>
        <w:r w:rsidR="00B30913">
          <w:rPr>
            <w:noProof/>
            <w:webHidden/>
          </w:rPr>
        </w:r>
        <w:r w:rsidR="00B30913">
          <w:rPr>
            <w:noProof/>
            <w:webHidden/>
          </w:rPr>
          <w:fldChar w:fldCharType="separate"/>
        </w:r>
        <w:r w:rsidR="00B30913">
          <w:rPr>
            <w:noProof/>
            <w:webHidden/>
          </w:rPr>
          <w:t>31</w:t>
        </w:r>
        <w:r w:rsidR="00B30913">
          <w:rPr>
            <w:noProof/>
            <w:webHidden/>
          </w:rPr>
          <w:fldChar w:fldCharType="end"/>
        </w:r>
      </w:hyperlink>
    </w:p>
    <w:p w:rsidR="00B30913" w:rsidRDefault="00172343" w:rsidP="003A760F">
      <w:pPr>
        <w:pStyle w:val="Spisilustracji"/>
        <w:tabs>
          <w:tab w:val="right" w:leader="dot" w:pos="9062"/>
        </w:tabs>
        <w:jc w:val="both"/>
        <w:rPr>
          <w:rFonts w:eastAsiaTheme="minorEastAsia"/>
          <w:noProof/>
          <w:lang w:eastAsia="pl-PL"/>
        </w:rPr>
      </w:pPr>
      <w:hyperlink w:anchor="_Toc495887830" w:history="1">
        <w:r w:rsidR="00B30913" w:rsidRPr="00710239">
          <w:rPr>
            <w:rStyle w:val="Hipercze"/>
            <w:noProof/>
          </w:rPr>
          <w:t>Wykres 16 Budownictwo mieszkaniowe w podziale na lata budowy</w:t>
        </w:r>
        <w:r w:rsidR="00B30913">
          <w:rPr>
            <w:noProof/>
            <w:webHidden/>
          </w:rPr>
          <w:tab/>
        </w:r>
        <w:r w:rsidR="00B30913">
          <w:rPr>
            <w:noProof/>
            <w:webHidden/>
          </w:rPr>
          <w:fldChar w:fldCharType="begin"/>
        </w:r>
        <w:r w:rsidR="00B30913">
          <w:rPr>
            <w:noProof/>
            <w:webHidden/>
          </w:rPr>
          <w:instrText xml:space="preserve"> PAGEREF _Toc495887830 \h </w:instrText>
        </w:r>
        <w:r w:rsidR="00B30913">
          <w:rPr>
            <w:noProof/>
            <w:webHidden/>
          </w:rPr>
        </w:r>
        <w:r w:rsidR="00B30913">
          <w:rPr>
            <w:noProof/>
            <w:webHidden/>
          </w:rPr>
          <w:fldChar w:fldCharType="separate"/>
        </w:r>
        <w:r w:rsidR="00B30913">
          <w:rPr>
            <w:noProof/>
            <w:webHidden/>
          </w:rPr>
          <w:t>32</w:t>
        </w:r>
        <w:r w:rsidR="00B30913">
          <w:rPr>
            <w:noProof/>
            <w:webHidden/>
          </w:rPr>
          <w:fldChar w:fldCharType="end"/>
        </w:r>
      </w:hyperlink>
    </w:p>
    <w:p w:rsidR="00B30913" w:rsidRDefault="00172343" w:rsidP="003A760F">
      <w:pPr>
        <w:pStyle w:val="Spisilustracji"/>
        <w:tabs>
          <w:tab w:val="right" w:leader="dot" w:pos="9062"/>
        </w:tabs>
        <w:jc w:val="both"/>
        <w:rPr>
          <w:rFonts w:eastAsiaTheme="minorEastAsia"/>
          <w:noProof/>
          <w:lang w:eastAsia="pl-PL"/>
        </w:rPr>
      </w:pPr>
      <w:hyperlink w:anchor="_Toc495887831" w:history="1">
        <w:r w:rsidR="00B30913" w:rsidRPr="00710239">
          <w:rPr>
            <w:rStyle w:val="Hipercze"/>
            <w:noProof/>
          </w:rPr>
          <w:t>Wykres 17 Użytki rolne na terenie Gminy Tryńcza jako procent powierzchni gminy. Stan na 31.12.2014</w:t>
        </w:r>
        <w:r w:rsidR="00B30913">
          <w:rPr>
            <w:noProof/>
            <w:webHidden/>
          </w:rPr>
          <w:tab/>
        </w:r>
        <w:r w:rsidR="00B30913">
          <w:rPr>
            <w:noProof/>
            <w:webHidden/>
          </w:rPr>
          <w:fldChar w:fldCharType="begin"/>
        </w:r>
        <w:r w:rsidR="00B30913">
          <w:rPr>
            <w:noProof/>
            <w:webHidden/>
          </w:rPr>
          <w:instrText xml:space="preserve"> PAGEREF _Toc495887831 \h </w:instrText>
        </w:r>
        <w:r w:rsidR="00B30913">
          <w:rPr>
            <w:noProof/>
            <w:webHidden/>
          </w:rPr>
        </w:r>
        <w:r w:rsidR="00B30913">
          <w:rPr>
            <w:noProof/>
            <w:webHidden/>
          </w:rPr>
          <w:fldChar w:fldCharType="separate"/>
        </w:r>
        <w:r w:rsidR="00B30913">
          <w:rPr>
            <w:noProof/>
            <w:webHidden/>
          </w:rPr>
          <w:t>37</w:t>
        </w:r>
        <w:r w:rsidR="00B30913">
          <w:rPr>
            <w:noProof/>
            <w:webHidden/>
          </w:rPr>
          <w:fldChar w:fldCharType="end"/>
        </w:r>
      </w:hyperlink>
    </w:p>
    <w:p w:rsidR="00B30913" w:rsidRDefault="00172343" w:rsidP="003A760F">
      <w:pPr>
        <w:pStyle w:val="Spisilustracji"/>
        <w:tabs>
          <w:tab w:val="right" w:leader="dot" w:pos="9062"/>
        </w:tabs>
        <w:jc w:val="both"/>
        <w:rPr>
          <w:rFonts w:eastAsiaTheme="minorEastAsia"/>
          <w:noProof/>
          <w:lang w:eastAsia="pl-PL"/>
        </w:rPr>
      </w:pPr>
      <w:hyperlink w:anchor="_Toc495887832" w:history="1">
        <w:r w:rsidR="00B30913" w:rsidRPr="00710239">
          <w:rPr>
            <w:rStyle w:val="Hipercze"/>
            <w:noProof/>
          </w:rPr>
          <w:t>Wykres 18 Podmioty gospodarki narodowej zarejestrowane na terenie gminy Tryńcza w latach 2010-2017</w:t>
        </w:r>
        <w:r w:rsidR="00B30913">
          <w:rPr>
            <w:noProof/>
            <w:webHidden/>
          </w:rPr>
          <w:tab/>
        </w:r>
        <w:r w:rsidR="00B30913">
          <w:rPr>
            <w:noProof/>
            <w:webHidden/>
          </w:rPr>
          <w:fldChar w:fldCharType="begin"/>
        </w:r>
        <w:r w:rsidR="00B30913">
          <w:rPr>
            <w:noProof/>
            <w:webHidden/>
          </w:rPr>
          <w:instrText xml:space="preserve"> PAGEREF _Toc495887832 \h </w:instrText>
        </w:r>
        <w:r w:rsidR="00B30913">
          <w:rPr>
            <w:noProof/>
            <w:webHidden/>
          </w:rPr>
        </w:r>
        <w:r w:rsidR="00B30913">
          <w:rPr>
            <w:noProof/>
            <w:webHidden/>
          </w:rPr>
          <w:fldChar w:fldCharType="separate"/>
        </w:r>
        <w:r w:rsidR="00B30913">
          <w:rPr>
            <w:noProof/>
            <w:webHidden/>
          </w:rPr>
          <w:t>38</w:t>
        </w:r>
        <w:r w:rsidR="00B30913">
          <w:rPr>
            <w:noProof/>
            <w:webHidden/>
          </w:rPr>
          <w:fldChar w:fldCharType="end"/>
        </w:r>
      </w:hyperlink>
    </w:p>
    <w:p w:rsidR="00B30913" w:rsidRDefault="00172343" w:rsidP="003A760F">
      <w:pPr>
        <w:pStyle w:val="Spisilustracji"/>
        <w:tabs>
          <w:tab w:val="right" w:leader="dot" w:pos="9062"/>
        </w:tabs>
        <w:jc w:val="both"/>
        <w:rPr>
          <w:rFonts w:eastAsiaTheme="minorEastAsia"/>
          <w:noProof/>
          <w:lang w:eastAsia="pl-PL"/>
        </w:rPr>
      </w:pPr>
      <w:hyperlink w:anchor="_Toc495887833" w:history="1">
        <w:r w:rsidR="00B30913" w:rsidRPr="00710239">
          <w:rPr>
            <w:rStyle w:val="Hipercze"/>
            <w:noProof/>
          </w:rPr>
          <w:t>Wykres 19 Podmioty gospodarki narodowej na terenie gminy Tryńcza w podziale na sekcje PKD – dane za rok 2016</w:t>
        </w:r>
        <w:r w:rsidR="00B30913">
          <w:rPr>
            <w:noProof/>
            <w:webHidden/>
          </w:rPr>
          <w:tab/>
        </w:r>
        <w:r w:rsidR="00B30913">
          <w:rPr>
            <w:noProof/>
            <w:webHidden/>
          </w:rPr>
          <w:fldChar w:fldCharType="begin"/>
        </w:r>
        <w:r w:rsidR="00B30913">
          <w:rPr>
            <w:noProof/>
            <w:webHidden/>
          </w:rPr>
          <w:instrText xml:space="preserve"> PAGEREF _Toc495887833 \h </w:instrText>
        </w:r>
        <w:r w:rsidR="00B30913">
          <w:rPr>
            <w:noProof/>
            <w:webHidden/>
          </w:rPr>
        </w:r>
        <w:r w:rsidR="00B30913">
          <w:rPr>
            <w:noProof/>
            <w:webHidden/>
          </w:rPr>
          <w:fldChar w:fldCharType="separate"/>
        </w:r>
        <w:r w:rsidR="00B30913">
          <w:rPr>
            <w:noProof/>
            <w:webHidden/>
          </w:rPr>
          <w:t>39</w:t>
        </w:r>
        <w:r w:rsidR="00B30913">
          <w:rPr>
            <w:noProof/>
            <w:webHidden/>
          </w:rPr>
          <w:fldChar w:fldCharType="end"/>
        </w:r>
      </w:hyperlink>
    </w:p>
    <w:p w:rsidR="00530737" w:rsidRDefault="007446A0" w:rsidP="00530737">
      <w:r>
        <w:fldChar w:fldCharType="end"/>
      </w:r>
    </w:p>
    <w:sectPr w:rsidR="005307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343" w:rsidRDefault="00172343" w:rsidP="00D164AF">
      <w:pPr>
        <w:spacing w:after="0" w:line="240" w:lineRule="auto"/>
      </w:pPr>
      <w:r>
        <w:separator/>
      </w:r>
    </w:p>
  </w:endnote>
  <w:endnote w:type="continuationSeparator" w:id="0">
    <w:p w:rsidR="00172343" w:rsidRDefault="00172343" w:rsidP="00D16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onstantia">
    <w:panose1 w:val="02030602050306030303"/>
    <w:charset w:val="EE"/>
    <w:family w:val="roman"/>
    <w:pitch w:val="variable"/>
    <w:sig w:usb0="A00002EF" w:usb1="40002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4639720"/>
      <w:docPartObj>
        <w:docPartGallery w:val="Page Numbers (Bottom of Page)"/>
        <w:docPartUnique/>
      </w:docPartObj>
    </w:sdtPr>
    <w:sdtEndPr/>
    <w:sdtContent>
      <w:sdt>
        <w:sdtPr>
          <w:id w:val="860082579"/>
          <w:docPartObj>
            <w:docPartGallery w:val="Page Numbers (Top of Page)"/>
            <w:docPartUnique/>
          </w:docPartObj>
        </w:sdtPr>
        <w:sdtEndPr/>
        <w:sdtContent>
          <w:p w:rsidR="00101FD2" w:rsidRDefault="00101FD2">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2C401F">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2C401F">
              <w:rPr>
                <w:b/>
                <w:bCs/>
                <w:noProof/>
              </w:rPr>
              <w:t>71</w:t>
            </w:r>
            <w:r>
              <w:rPr>
                <w:b/>
                <w:bCs/>
                <w:sz w:val="24"/>
                <w:szCs w:val="24"/>
              </w:rPr>
              <w:fldChar w:fldCharType="end"/>
            </w:r>
          </w:p>
        </w:sdtContent>
      </w:sdt>
    </w:sdtContent>
  </w:sdt>
  <w:p w:rsidR="00101FD2" w:rsidRDefault="00101FD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343" w:rsidRDefault="00172343" w:rsidP="00D164AF">
      <w:pPr>
        <w:spacing w:after="0" w:line="240" w:lineRule="auto"/>
      </w:pPr>
      <w:r>
        <w:separator/>
      </w:r>
    </w:p>
  </w:footnote>
  <w:footnote w:type="continuationSeparator" w:id="0">
    <w:p w:rsidR="00172343" w:rsidRDefault="00172343" w:rsidP="00D164AF">
      <w:pPr>
        <w:spacing w:after="0" w:line="240" w:lineRule="auto"/>
      </w:pPr>
      <w:r>
        <w:continuationSeparator/>
      </w:r>
    </w:p>
  </w:footnote>
  <w:footnote w:id="1">
    <w:p w:rsidR="00101FD2" w:rsidRDefault="00101FD2">
      <w:pPr>
        <w:pStyle w:val="Tekstprzypisudolnego"/>
      </w:pPr>
      <w:r>
        <w:rPr>
          <w:rStyle w:val="Odwoanieprzypisudolnego"/>
        </w:rPr>
        <w:footnoteRef/>
      </w:r>
      <w:r>
        <w:t xml:space="preserve"> Na podstawie Planu Gospodarki Niskoemisyjnej gminy Tryńcza</w:t>
      </w:r>
    </w:p>
  </w:footnote>
  <w:footnote w:id="2">
    <w:p w:rsidR="00101FD2" w:rsidRDefault="00101FD2" w:rsidP="007522F0">
      <w:pPr>
        <w:jc w:val="both"/>
      </w:pPr>
      <w:r>
        <w:rPr>
          <w:rStyle w:val="Odwoanieprzypisudolnego"/>
        </w:rPr>
        <w:footnoteRef/>
      </w:r>
      <w:r>
        <w:t xml:space="preserve"> Źródło: http://www.nowiny24.pl/strefa-biznesu/wiadomosci/z-regionu/a/walka-o-przyszlosc-fabryki-wagonow-w-gniewczynie,10493284/</w:t>
      </w:r>
    </w:p>
  </w:footnote>
  <w:footnote w:id="3">
    <w:p w:rsidR="00101FD2" w:rsidRDefault="00101FD2" w:rsidP="00481877">
      <w:pPr>
        <w:pStyle w:val="Tekstprzypisudolnego"/>
      </w:pPr>
      <w:r>
        <w:rPr>
          <w:rStyle w:val="Odwoanieprzypisudolnego"/>
        </w:rPr>
        <w:footnoteRef/>
      </w:r>
      <w:r>
        <w:t xml:space="preserve"> Informacje ze strony: </w:t>
      </w:r>
      <w:r w:rsidRPr="00821755">
        <w:t>http://www.pcpr.przeworsk.pl</w:t>
      </w:r>
    </w:p>
  </w:footnote>
  <w:footnote w:id="4">
    <w:p w:rsidR="00101FD2" w:rsidRDefault="00101FD2" w:rsidP="00481877">
      <w:pPr>
        <w:pStyle w:val="Tekstprzypisudolnego"/>
      </w:pPr>
      <w:r>
        <w:rPr>
          <w:rStyle w:val="Odwoanieprzypisudolnego"/>
        </w:rPr>
        <w:footnoteRef/>
      </w:r>
      <w:r>
        <w:t xml:space="preserve"> Informacje ze strony: </w:t>
      </w:r>
      <w:r w:rsidRPr="00821755">
        <w:t>http://mdps.przemysl.pl/</w:t>
      </w:r>
    </w:p>
  </w:footnote>
  <w:footnote w:id="5">
    <w:p w:rsidR="00101FD2" w:rsidRDefault="00101FD2">
      <w:pPr>
        <w:pStyle w:val="Tekstprzypisudolnego"/>
      </w:pPr>
      <w:r>
        <w:rPr>
          <w:rStyle w:val="Odwoanieprzypisudolnego"/>
        </w:rPr>
        <w:footnoteRef/>
      </w:r>
      <w:r>
        <w:t xml:space="preserve"> Delimitacja krok po kroku, Ministerstwo Infrastruktury i Rozwoju, 2017 rok, s. 7</w:t>
      </w:r>
    </w:p>
  </w:footnote>
  <w:footnote w:id="6">
    <w:p w:rsidR="00101FD2" w:rsidRDefault="00101FD2">
      <w:pPr>
        <w:pStyle w:val="Tekstprzypisudolnego"/>
      </w:pPr>
      <w:r>
        <w:rPr>
          <w:rStyle w:val="Odwoanieprzypisudolnego"/>
        </w:rPr>
        <w:footnoteRef/>
      </w:r>
      <w:r>
        <w:t xml:space="preserve"> Tamże, s. 10</w:t>
      </w:r>
    </w:p>
  </w:footnote>
  <w:footnote w:id="7">
    <w:p w:rsidR="00101FD2" w:rsidRDefault="00101FD2" w:rsidP="00D164AF">
      <w:pPr>
        <w:pStyle w:val="Tekstprzypisudolnego"/>
        <w:jc w:val="both"/>
      </w:pPr>
      <w:r>
        <w:rPr>
          <w:rStyle w:val="Odwoanieprzypisudolnego"/>
        </w:rPr>
        <w:footnoteRef/>
      </w:r>
      <w:r>
        <w:t xml:space="preserve"> Instrukcja </w:t>
      </w:r>
      <w:r w:rsidRPr="00D164AF">
        <w:t>została wydana na podstawie art. 41 ust. 1 i ust. 2 pkt 4 us</w:t>
      </w:r>
      <w:r>
        <w:t>tawy z dnia 5 czerwca 1998 r. o </w:t>
      </w:r>
      <w:r w:rsidRPr="00D164AF">
        <w:t>samorządzie województwa (Dz. U. z dnia 2016 r. poz. 486 t.j.), w związku z art. 9 ust. 1 pkt 2 ustawy z dnia 11 lipca 2014 r. o zasadach realizacji programów w zakresie polityki spójności finansowanych w perspektywie finansowej 2014–2020 (Dz. U. 2016, poz. 217). Zgodnie z Wytycznymi Ministra Infrastruktury i Rozwoju w zakresie rewitalizacji w programach operacyjnych na lata 2014-2020 z dnia 3 lipca 2015 r. Instytucja Zarządzająca RPO WP 2014-2020 może opracować szczegółowe wytyczne w zakresie rewitalizacji, w których uzupełni lub rozwinie zakres i wymogi wobec programów rewitalizacji.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4236B"/>
    <w:multiLevelType w:val="hybridMultilevel"/>
    <w:tmpl w:val="D076FF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61618A0"/>
    <w:multiLevelType w:val="hybridMultilevel"/>
    <w:tmpl w:val="A1B2B7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BDC16CF"/>
    <w:multiLevelType w:val="hybridMultilevel"/>
    <w:tmpl w:val="83387D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E7720DB"/>
    <w:multiLevelType w:val="hybridMultilevel"/>
    <w:tmpl w:val="EC0E71D2"/>
    <w:lvl w:ilvl="0" w:tplc="3F8C27D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
    <w:nsid w:val="11907821"/>
    <w:multiLevelType w:val="hybridMultilevel"/>
    <w:tmpl w:val="95045476"/>
    <w:lvl w:ilvl="0" w:tplc="62420E1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5190FE7"/>
    <w:multiLevelType w:val="hybridMultilevel"/>
    <w:tmpl w:val="6A2223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6B41A8E"/>
    <w:multiLevelType w:val="hybridMultilevel"/>
    <w:tmpl w:val="FEE05C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85704F8"/>
    <w:multiLevelType w:val="hybridMultilevel"/>
    <w:tmpl w:val="7E363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C0D587E"/>
    <w:multiLevelType w:val="hybridMultilevel"/>
    <w:tmpl w:val="52367096"/>
    <w:lvl w:ilvl="0" w:tplc="62420E1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F8747DD"/>
    <w:multiLevelType w:val="hybridMultilevel"/>
    <w:tmpl w:val="FEE05C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11F5913"/>
    <w:multiLevelType w:val="hybridMultilevel"/>
    <w:tmpl w:val="FC18CA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F4F3704"/>
    <w:multiLevelType w:val="hybridMultilevel"/>
    <w:tmpl w:val="80B2A5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0277A02"/>
    <w:multiLevelType w:val="hybridMultilevel"/>
    <w:tmpl w:val="491E7A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3A869A8"/>
    <w:multiLevelType w:val="hybridMultilevel"/>
    <w:tmpl w:val="491E7A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7B43D8E"/>
    <w:multiLevelType w:val="hybridMultilevel"/>
    <w:tmpl w:val="491E7A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A1156BE"/>
    <w:multiLevelType w:val="hybridMultilevel"/>
    <w:tmpl w:val="0616F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E021694"/>
    <w:multiLevelType w:val="hybridMultilevel"/>
    <w:tmpl w:val="DC6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1715ADE"/>
    <w:multiLevelType w:val="hybridMultilevel"/>
    <w:tmpl w:val="9B8E1AEE"/>
    <w:lvl w:ilvl="0" w:tplc="AA76DD2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453839C3"/>
    <w:multiLevelType w:val="hybridMultilevel"/>
    <w:tmpl w:val="801A0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67E1BB9"/>
    <w:multiLevelType w:val="hybridMultilevel"/>
    <w:tmpl w:val="A224E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FD67E12"/>
    <w:multiLevelType w:val="hybridMultilevel"/>
    <w:tmpl w:val="A1D25E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2431838"/>
    <w:multiLevelType w:val="hybridMultilevel"/>
    <w:tmpl w:val="C206F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E9E2D16"/>
    <w:multiLevelType w:val="hybridMultilevel"/>
    <w:tmpl w:val="A5A08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F906707"/>
    <w:multiLevelType w:val="hybridMultilevel"/>
    <w:tmpl w:val="6A7A51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617C0BB8"/>
    <w:multiLevelType w:val="hybridMultilevel"/>
    <w:tmpl w:val="8B8E6950"/>
    <w:lvl w:ilvl="0" w:tplc="62420E1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649208CF"/>
    <w:multiLevelType w:val="hybridMultilevel"/>
    <w:tmpl w:val="49AA76D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CAA0F9A"/>
    <w:multiLevelType w:val="hybridMultilevel"/>
    <w:tmpl w:val="8DA09F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D3A12E3"/>
    <w:multiLevelType w:val="hybridMultilevel"/>
    <w:tmpl w:val="491E7A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12"/>
  </w:num>
  <w:num w:numId="3">
    <w:abstractNumId w:val="14"/>
  </w:num>
  <w:num w:numId="4">
    <w:abstractNumId w:val="6"/>
  </w:num>
  <w:num w:numId="5">
    <w:abstractNumId w:val="3"/>
  </w:num>
  <w:num w:numId="6">
    <w:abstractNumId w:val="17"/>
  </w:num>
  <w:num w:numId="7">
    <w:abstractNumId w:val="23"/>
  </w:num>
  <w:num w:numId="8">
    <w:abstractNumId w:val="24"/>
  </w:num>
  <w:num w:numId="9">
    <w:abstractNumId w:val="4"/>
  </w:num>
  <w:num w:numId="10">
    <w:abstractNumId w:val="8"/>
  </w:num>
  <w:num w:numId="11">
    <w:abstractNumId w:val="2"/>
  </w:num>
  <w:num w:numId="12">
    <w:abstractNumId w:val="18"/>
  </w:num>
  <w:num w:numId="13">
    <w:abstractNumId w:val="25"/>
  </w:num>
  <w:num w:numId="14">
    <w:abstractNumId w:val="10"/>
  </w:num>
  <w:num w:numId="15">
    <w:abstractNumId w:val="20"/>
  </w:num>
  <w:num w:numId="16">
    <w:abstractNumId w:val="11"/>
  </w:num>
  <w:num w:numId="17">
    <w:abstractNumId w:val="22"/>
  </w:num>
  <w:num w:numId="18">
    <w:abstractNumId w:val="16"/>
  </w:num>
  <w:num w:numId="19">
    <w:abstractNumId w:val="0"/>
  </w:num>
  <w:num w:numId="20">
    <w:abstractNumId w:val="7"/>
  </w:num>
  <w:num w:numId="21">
    <w:abstractNumId w:val="15"/>
  </w:num>
  <w:num w:numId="22">
    <w:abstractNumId w:val="21"/>
  </w:num>
  <w:num w:numId="23">
    <w:abstractNumId w:val="19"/>
  </w:num>
  <w:num w:numId="24">
    <w:abstractNumId w:val="26"/>
  </w:num>
  <w:num w:numId="25">
    <w:abstractNumId w:val="5"/>
  </w:num>
  <w:num w:numId="26">
    <w:abstractNumId w:val="9"/>
  </w:num>
  <w:num w:numId="27">
    <w:abstractNumId w:val="13"/>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737"/>
    <w:rsid w:val="00010686"/>
    <w:rsid w:val="00026952"/>
    <w:rsid w:val="00055887"/>
    <w:rsid w:val="0005759E"/>
    <w:rsid w:val="000C01C6"/>
    <w:rsid w:val="00101FD2"/>
    <w:rsid w:val="00131F04"/>
    <w:rsid w:val="00147768"/>
    <w:rsid w:val="00151814"/>
    <w:rsid w:val="00172343"/>
    <w:rsid w:val="00180DE9"/>
    <w:rsid w:val="00185AE2"/>
    <w:rsid w:val="001957AA"/>
    <w:rsid w:val="001A0127"/>
    <w:rsid w:val="00205688"/>
    <w:rsid w:val="00220586"/>
    <w:rsid w:val="0022433C"/>
    <w:rsid w:val="00226068"/>
    <w:rsid w:val="002437D3"/>
    <w:rsid w:val="00247B90"/>
    <w:rsid w:val="002943F5"/>
    <w:rsid w:val="002C401F"/>
    <w:rsid w:val="00301D51"/>
    <w:rsid w:val="00314DA1"/>
    <w:rsid w:val="00320C18"/>
    <w:rsid w:val="00360011"/>
    <w:rsid w:val="003A760F"/>
    <w:rsid w:val="003B7B70"/>
    <w:rsid w:val="003D76A3"/>
    <w:rsid w:val="004526A8"/>
    <w:rsid w:val="00471A7F"/>
    <w:rsid w:val="00481877"/>
    <w:rsid w:val="00497E4E"/>
    <w:rsid w:val="004D7D49"/>
    <w:rsid w:val="004F0A01"/>
    <w:rsid w:val="00502859"/>
    <w:rsid w:val="00525163"/>
    <w:rsid w:val="00526CAB"/>
    <w:rsid w:val="00530737"/>
    <w:rsid w:val="005505CA"/>
    <w:rsid w:val="00571AF7"/>
    <w:rsid w:val="005F3293"/>
    <w:rsid w:val="006103FC"/>
    <w:rsid w:val="00692D8C"/>
    <w:rsid w:val="006A7E1F"/>
    <w:rsid w:val="006E6414"/>
    <w:rsid w:val="007008B8"/>
    <w:rsid w:val="00702A63"/>
    <w:rsid w:val="007446A0"/>
    <w:rsid w:val="007522F0"/>
    <w:rsid w:val="00763DD6"/>
    <w:rsid w:val="00767843"/>
    <w:rsid w:val="0078649A"/>
    <w:rsid w:val="007C3562"/>
    <w:rsid w:val="007C545B"/>
    <w:rsid w:val="007C69E8"/>
    <w:rsid w:val="007C767A"/>
    <w:rsid w:val="0080043B"/>
    <w:rsid w:val="00821755"/>
    <w:rsid w:val="00883893"/>
    <w:rsid w:val="0089056C"/>
    <w:rsid w:val="008B786C"/>
    <w:rsid w:val="008E49A5"/>
    <w:rsid w:val="008F0497"/>
    <w:rsid w:val="00983DF1"/>
    <w:rsid w:val="00985B15"/>
    <w:rsid w:val="009874DB"/>
    <w:rsid w:val="009A068B"/>
    <w:rsid w:val="009A08A9"/>
    <w:rsid w:val="009C6581"/>
    <w:rsid w:val="009D283A"/>
    <w:rsid w:val="00A32903"/>
    <w:rsid w:val="00A57C08"/>
    <w:rsid w:val="00B30913"/>
    <w:rsid w:val="00B3390E"/>
    <w:rsid w:val="00B65390"/>
    <w:rsid w:val="00BB55E0"/>
    <w:rsid w:val="00BC6246"/>
    <w:rsid w:val="00C06E9C"/>
    <w:rsid w:val="00C536C6"/>
    <w:rsid w:val="00CC50BF"/>
    <w:rsid w:val="00CD0B6F"/>
    <w:rsid w:val="00CF233E"/>
    <w:rsid w:val="00D164AF"/>
    <w:rsid w:val="00D67FEC"/>
    <w:rsid w:val="00D711AD"/>
    <w:rsid w:val="00D74DF2"/>
    <w:rsid w:val="00D7754B"/>
    <w:rsid w:val="00DC6799"/>
    <w:rsid w:val="00DD2B32"/>
    <w:rsid w:val="00DD5C60"/>
    <w:rsid w:val="00E058A3"/>
    <w:rsid w:val="00E4590B"/>
    <w:rsid w:val="00EA5D48"/>
    <w:rsid w:val="00EE2C5D"/>
    <w:rsid w:val="00EE75DB"/>
    <w:rsid w:val="00F23FA4"/>
    <w:rsid w:val="00F25FE9"/>
    <w:rsid w:val="00F53351"/>
    <w:rsid w:val="00F905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18BFD7-D0B1-43F0-BE12-EA270B1F0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30737"/>
  </w:style>
  <w:style w:type="paragraph" w:styleId="Nagwek1">
    <w:name w:val="heading 1"/>
    <w:basedOn w:val="Normalny"/>
    <w:next w:val="Normalny"/>
    <w:link w:val="Nagwek1Znak"/>
    <w:uiPriority w:val="9"/>
    <w:qFormat/>
    <w:rsid w:val="005307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5307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497E4E"/>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B3390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30737"/>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530737"/>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497E4E"/>
    <w:rPr>
      <w:rFonts w:asciiTheme="majorHAnsi" w:eastAsiaTheme="majorEastAsia" w:hAnsiTheme="majorHAnsi" w:cstheme="majorBidi"/>
      <w:b/>
      <w:bCs/>
      <w:color w:val="4F81BD" w:themeColor="accent1"/>
    </w:rPr>
  </w:style>
  <w:style w:type="paragraph" w:styleId="Bezodstpw">
    <w:name w:val="No Spacing"/>
    <w:link w:val="BezodstpwZnak"/>
    <w:uiPriority w:val="1"/>
    <w:qFormat/>
    <w:rsid w:val="00530737"/>
    <w:pPr>
      <w:spacing w:after="0" w:line="240" w:lineRule="auto"/>
    </w:pPr>
  </w:style>
  <w:style w:type="character" w:customStyle="1" w:styleId="BezodstpwZnak">
    <w:name w:val="Bez odstępów Znak"/>
    <w:link w:val="Bezodstpw"/>
    <w:uiPriority w:val="1"/>
    <w:rsid w:val="00530737"/>
  </w:style>
  <w:style w:type="paragraph" w:styleId="Legenda">
    <w:name w:val="caption"/>
    <w:basedOn w:val="Normalny"/>
    <w:next w:val="Normalny"/>
    <w:uiPriority w:val="35"/>
    <w:unhideWhenUsed/>
    <w:qFormat/>
    <w:rsid w:val="00530737"/>
    <w:pPr>
      <w:spacing w:line="240" w:lineRule="auto"/>
    </w:pPr>
    <w:rPr>
      <w:b/>
      <w:bCs/>
      <w:color w:val="4F81BD" w:themeColor="accent1"/>
      <w:sz w:val="18"/>
      <w:szCs w:val="18"/>
    </w:rPr>
  </w:style>
  <w:style w:type="table" w:customStyle="1" w:styleId="Tabelasiatki5ciemnaakcent31">
    <w:name w:val="Tabela siatki 5 — ciemna — akcent 31"/>
    <w:basedOn w:val="Standardowy"/>
    <w:uiPriority w:val="50"/>
    <w:rsid w:val="00530737"/>
    <w:pPr>
      <w:spacing w:after="0" w:line="240" w:lineRule="auto"/>
    </w:pPr>
    <w:rPr>
      <w:rFonts w:ascii="Constantia" w:eastAsia="Constantia" w:hAnsi="Constantia"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Tekstdymka">
    <w:name w:val="Balloon Text"/>
    <w:basedOn w:val="Normalny"/>
    <w:link w:val="TekstdymkaZnak"/>
    <w:uiPriority w:val="99"/>
    <w:semiHidden/>
    <w:unhideWhenUsed/>
    <w:rsid w:val="0053073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30737"/>
    <w:rPr>
      <w:rFonts w:ascii="Tahoma" w:hAnsi="Tahoma" w:cs="Tahoma"/>
      <w:sz w:val="16"/>
      <w:szCs w:val="16"/>
    </w:rPr>
  </w:style>
  <w:style w:type="paragraph" w:styleId="Akapitzlist">
    <w:name w:val="List Paragraph"/>
    <w:basedOn w:val="Normalny"/>
    <w:uiPriority w:val="34"/>
    <w:qFormat/>
    <w:rsid w:val="0080043B"/>
    <w:pPr>
      <w:ind w:left="720"/>
      <w:contextualSpacing/>
    </w:pPr>
  </w:style>
  <w:style w:type="paragraph" w:styleId="Tekstprzypisudolnego">
    <w:name w:val="footnote text"/>
    <w:basedOn w:val="Normalny"/>
    <w:link w:val="TekstprzypisudolnegoZnak"/>
    <w:uiPriority w:val="99"/>
    <w:semiHidden/>
    <w:unhideWhenUsed/>
    <w:rsid w:val="00D164A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164AF"/>
    <w:rPr>
      <w:sz w:val="20"/>
      <w:szCs w:val="20"/>
    </w:rPr>
  </w:style>
  <w:style w:type="character" w:styleId="Odwoanieprzypisudolnego">
    <w:name w:val="footnote reference"/>
    <w:basedOn w:val="Domylnaczcionkaakapitu"/>
    <w:uiPriority w:val="99"/>
    <w:semiHidden/>
    <w:unhideWhenUsed/>
    <w:rsid w:val="00D164AF"/>
    <w:rPr>
      <w:vertAlign w:val="superscript"/>
    </w:rPr>
  </w:style>
  <w:style w:type="paragraph" w:styleId="Nagwek">
    <w:name w:val="header"/>
    <w:basedOn w:val="Normalny"/>
    <w:link w:val="NagwekZnak"/>
    <w:uiPriority w:val="99"/>
    <w:unhideWhenUsed/>
    <w:rsid w:val="00DD5C6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D5C60"/>
  </w:style>
  <w:style w:type="paragraph" w:styleId="Stopka">
    <w:name w:val="footer"/>
    <w:basedOn w:val="Normalny"/>
    <w:link w:val="StopkaZnak"/>
    <w:uiPriority w:val="99"/>
    <w:unhideWhenUsed/>
    <w:rsid w:val="00DD5C6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D5C60"/>
  </w:style>
  <w:style w:type="paragraph" w:customStyle="1" w:styleId="Default">
    <w:name w:val="Default"/>
    <w:rsid w:val="00F25FE9"/>
    <w:pPr>
      <w:autoSpaceDE w:val="0"/>
      <w:autoSpaceDN w:val="0"/>
      <w:adjustRightInd w:val="0"/>
      <w:spacing w:after="0" w:line="240" w:lineRule="auto"/>
    </w:pPr>
    <w:rPr>
      <w:rFonts w:ascii="Arial" w:hAnsi="Arial" w:cs="Arial"/>
      <w:color w:val="000000"/>
      <w:sz w:val="24"/>
      <w:szCs w:val="24"/>
    </w:rPr>
  </w:style>
  <w:style w:type="paragraph" w:styleId="Spisilustracji">
    <w:name w:val="table of figures"/>
    <w:basedOn w:val="Normalny"/>
    <w:next w:val="Normalny"/>
    <w:uiPriority w:val="99"/>
    <w:unhideWhenUsed/>
    <w:rsid w:val="007446A0"/>
    <w:pPr>
      <w:spacing w:after="0"/>
    </w:pPr>
  </w:style>
  <w:style w:type="character" w:styleId="Hipercze">
    <w:name w:val="Hyperlink"/>
    <w:basedOn w:val="Domylnaczcionkaakapitu"/>
    <w:uiPriority w:val="99"/>
    <w:unhideWhenUsed/>
    <w:rsid w:val="007446A0"/>
    <w:rPr>
      <w:color w:val="0000FF" w:themeColor="hyperlink"/>
      <w:u w:val="single"/>
    </w:rPr>
  </w:style>
  <w:style w:type="paragraph" w:styleId="Nagwekspisutreci">
    <w:name w:val="TOC Heading"/>
    <w:basedOn w:val="Nagwek1"/>
    <w:next w:val="Normalny"/>
    <w:uiPriority w:val="39"/>
    <w:semiHidden/>
    <w:unhideWhenUsed/>
    <w:qFormat/>
    <w:rsid w:val="007446A0"/>
    <w:pPr>
      <w:outlineLvl w:val="9"/>
    </w:pPr>
    <w:rPr>
      <w:lang w:eastAsia="pl-PL"/>
    </w:rPr>
  </w:style>
  <w:style w:type="paragraph" w:styleId="Spistreci1">
    <w:name w:val="toc 1"/>
    <w:basedOn w:val="Normalny"/>
    <w:next w:val="Normalny"/>
    <w:autoRedefine/>
    <w:uiPriority w:val="39"/>
    <w:unhideWhenUsed/>
    <w:rsid w:val="007446A0"/>
    <w:pPr>
      <w:spacing w:after="100"/>
    </w:pPr>
  </w:style>
  <w:style w:type="paragraph" w:styleId="Spistreci2">
    <w:name w:val="toc 2"/>
    <w:basedOn w:val="Normalny"/>
    <w:next w:val="Normalny"/>
    <w:autoRedefine/>
    <w:uiPriority w:val="39"/>
    <w:unhideWhenUsed/>
    <w:rsid w:val="007446A0"/>
    <w:pPr>
      <w:spacing w:after="100"/>
      <w:ind w:left="220"/>
    </w:pPr>
  </w:style>
  <w:style w:type="table" w:styleId="Jasnecieniowanieakcent4">
    <w:name w:val="Light Shading Accent 4"/>
    <w:basedOn w:val="Standardowy"/>
    <w:uiPriority w:val="60"/>
    <w:rsid w:val="0089056C"/>
    <w:pPr>
      <w:spacing w:after="0" w:line="240" w:lineRule="auto"/>
      <w:jc w:val="center"/>
    </w:pPr>
    <w:rPr>
      <w:color w:val="5F497A" w:themeColor="accent4" w:themeShade="BF"/>
      <w:sz w:val="20"/>
    </w:rPr>
    <w:tblPr>
      <w:tblStyleRowBandSize w:val="1"/>
      <w:tblStyleColBandSize w:val="1"/>
      <w:tblBorders>
        <w:top w:val="single" w:sz="8" w:space="0" w:color="8064A2" w:themeColor="accent4"/>
        <w:bottom w:val="single" w:sz="8" w:space="0" w:color="8064A2" w:themeColor="accent4"/>
      </w:tblBorders>
    </w:tblPr>
    <w:tcPr>
      <w:vAlign w:val="center"/>
    </w:tc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val="0"/>
        <w:bCs/>
      </w:rPr>
      <w:tblPr/>
      <w:tcPr>
        <w:tcBorders>
          <w:top w:val="nil"/>
          <w:left w:val="nil"/>
          <w:bottom w:val="single" w:sz="8" w:space="0" w:color="8064A2" w:themeColor="accent4"/>
          <w:right w:val="nil"/>
          <w:insideH w:val="nil"/>
          <w:insideV w:val="nil"/>
        </w:tcBorders>
      </w:tcPr>
    </w:tblStylePr>
    <w:tblStylePr w:type="firstCol">
      <w:pPr>
        <w:jc w:val="left"/>
      </w:pPr>
      <w:rPr>
        <w:b w:val="0"/>
        <w:bCs/>
      </w:rPr>
    </w:tblStylePr>
    <w:tblStylePr w:type="lastCol">
      <w:rPr>
        <w:b w:val="0"/>
        <w:bCs/>
      </w:rPr>
    </w:tblStylePr>
    <w:tblStylePr w:type="band1Vert">
      <w:rPr>
        <w:color w:val="FFFFFF" w:themeColor="background1"/>
      </w:rPr>
      <w:tblPr/>
      <w:tcPr>
        <w:tcBorders>
          <w:left w:val="nil"/>
          <w:right w:val="nil"/>
          <w:insideH w:val="nil"/>
          <w:insideV w:val="nil"/>
        </w:tcBorders>
        <w:shd w:val="clear" w:color="auto" w:fill="DFD8E8" w:themeFill="accent4" w:themeFillTint="3F"/>
      </w:tcPr>
    </w:tblStylePr>
    <w:tblStylePr w:type="band2Vert">
      <w:rPr>
        <w:color w:val="FFFFFF" w:themeColor="background1"/>
      </w:r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aaardo">
    <w:name w:val="aaaŹródło"/>
    <w:basedOn w:val="Legenda"/>
    <w:next w:val="Normalny"/>
    <w:qFormat/>
    <w:rsid w:val="0089056C"/>
    <w:pPr>
      <w:spacing w:before="120" w:after="240"/>
      <w:contextualSpacing/>
    </w:pPr>
    <w:rPr>
      <w:b w:val="0"/>
      <w:color w:val="8064A2" w:themeColor="accent4"/>
      <w:sz w:val="20"/>
    </w:rPr>
  </w:style>
  <w:style w:type="paragraph" w:customStyle="1" w:styleId="aardo">
    <w:name w:val="aaźródło"/>
    <w:next w:val="Normalny"/>
    <w:autoRedefine/>
    <w:qFormat/>
    <w:rsid w:val="00C536C6"/>
    <w:pPr>
      <w:spacing w:before="120" w:after="240" w:line="240" w:lineRule="auto"/>
      <w:jc w:val="both"/>
    </w:pPr>
    <w:rPr>
      <w:color w:val="8064A2" w:themeColor="accent4"/>
      <w:sz w:val="20"/>
      <w:szCs w:val="24"/>
    </w:rPr>
  </w:style>
  <w:style w:type="table" w:customStyle="1" w:styleId="Tabelasiatki5ciemnaakcent32">
    <w:name w:val="Tabela siatki 5 — ciemna — akcent 32"/>
    <w:basedOn w:val="Standardowy"/>
    <w:uiPriority w:val="50"/>
    <w:rsid w:val="00883893"/>
    <w:pPr>
      <w:spacing w:after="0" w:line="240" w:lineRule="auto"/>
    </w:pPr>
    <w:rPr>
      <w:rFonts w:ascii="Constantia" w:eastAsia="Constantia" w:hAnsi="Constantia"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a">
    <w:name w:val="Table Grid"/>
    <w:basedOn w:val="Standardowy"/>
    <w:uiPriority w:val="59"/>
    <w:rsid w:val="00010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821755"/>
    <w:rPr>
      <w:b/>
      <w:bCs/>
    </w:rPr>
  </w:style>
  <w:style w:type="paragraph" w:styleId="Spistreci3">
    <w:name w:val="toc 3"/>
    <w:basedOn w:val="Normalny"/>
    <w:next w:val="Normalny"/>
    <w:autoRedefine/>
    <w:uiPriority w:val="39"/>
    <w:unhideWhenUsed/>
    <w:rsid w:val="00481877"/>
    <w:pPr>
      <w:spacing w:after="100"/>
      <w:ind w:left="440"/>
    </w:pPr>
  </w:style>
  <w:style w:type="character" w:customStyle="1" w:styleId="Nagwek4Znak">
    <w:name w:val="Nagłówek 4 Znak"/>
    <w:basedOn w:val="Domylnaczcionkaakapitu"/>
    <w:link w:val="Nagwek4"/>
    <w:uiPriority w:val="9"/>
    <w:semiHidden/>
    <w:rsid w:val="00B3390E"/>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6317">
      <w:bodyDiv w:val="1"/>
      <w:marLeft w:val="0"/>
      <w:marRight w:val="0"/>
      <w:marTop w:val="0"/>
      <w:marBottom w:val="0"/>
      <w:divBdr>
        <w:top w:val="none" w:sz="0" w:space="0" w:color="auto"/>
        <w:left w:val="none" w:sz="0" w:space="0" w:color="auto"/>
        <w:bottom w:val="none" w:sz="0" w:space="0" w:color="auto"/>
        <w:right w:val="none" w:sz="0" w:space="0" w:color="auto"/>
      </w:divBdr>
    </w:div>
    <w:div w:id="214976843">
      <w:bodyDiv w:val="1"/>
      <w:marLeft w:val="0"/>
      <w:marRight w:val="0"/>
      <w:marTop w:val="0"/>
      <w:marBottom w:val="0"/>
      <w:divBdr>
        <w:top w:val="none" w:sz="0" w:space="0" w:color="auto"/>
        <w:left w:val="none" w:sz="0" w:space="0" w:color="auto"/>
        <w:bottom w:val="none" w:sz="0" w:space="0" w:color="auto"/>
        <w:right w:val="none" w:sz="0" w:space="0" w:color="auto"/>
      </w:divBdr>
    </w:div>
    <w:div w:id="266816744">
      <w:bodyDiv w:val="1"/>
      <w:marLeft w:val="0"/>
      <w:marRight w:val="0"/>
      <w:marTop w:val="0"/>
      <w:marBottom w:val="0"/>
      <w:divBdr>
        <w:top w:val="none" w:sz="0" w:space="0" w:color="auto"/>
        <w:left w:val="none" w:sz="0" w:space="0" w:color="auto"/>
        <w:bottom w:val="none" w:sz="0" w:space="0" w:color="auto"/>
        <w:right w:val="none" w:sz="0" w:space="0" w:color="auto"/>
      </w:divBdr>
    </w:div>
    <w:div w:id="422803845">
      <w:bodyDiv w:val="1"/>
      <w:marLeft w:val="0"/>
      <w:marRight w:val="0"/>
      <w:marTop w:val="0"/>
      <w:marBottom w:val="0"/>
      <w:divBdr>
        <w:top w:val="none" w:sz="0" w:space="0" w:color="auto"/>
        <w:left w:val="none" w:sz="0" w:space="0" w:color="auto"/>
        <w:bottom w:val="none" w:sz="0" w:space="0" w:color="auto"/>
        <w:right w:val="none" w:sz="0" w:space="0" w:color="auto"/>
      </w:divBdr>
    </w:div>
    <w:div w:id="623005039">
      <w:bodyDiv w:val="1"/>
      <w:marLeft w:val="0"/>
      <w:marRight w:val="0"/>
      <w:marTop w:val="0"/>
      <w:marBottom w:val="0"/>
      <w:divBdr>
        <w:top w:val="none" w:sz="0" w:space="0" w:color="auto"/>
        <w:left w:val="none" w:sz="0" w:space="0" w:color="auto"/>
        <w:bottom w:val="none" w:sz="0" w:space="0" w:color="auto"/>
        <w:right w:val="none" w:sz="0" w:space="0" w:color="auto"/>
      </w:divBdr>
    </w:div>
    <w:div w:id="696781266">
      <w:bodyDiv w:val="1"/>
      <w:marLeft w:val="0"/>
      <w:marRight w:val="0"/>
      <w:marTop w:val="0"/>
      <w:marBottom w:val="0"/>
      <w:divBdr>
        <w:top w:val="none" w:sz="0" w:space="0" w:color="auto"/>
        <w:left w:val="none" w:sz="0" w:space="0" w:color="auto"/>
        <w:bottom w:val="none" w:sz="0" w:space="0" w:color="auto"/>
        <w:right w:val="none" w:sz="0" w:space="0" w:color="auto"/>
      </w:divBdr>
    </w:div>
    <w:div w:id="982461839">
      <w:bodyDiv w:val="1"/>
      <w:marLeft w:val="0"/>
      <w:marRight w:val="0"/>
      <w:marTop w:val="0"/>
      <w:marBottom w:val="0"/>
      <w:divBdr>
        <w:top w:val="none" w:sz="0" w:space="0" w:color="auto"/>
        <w:left w:val="none" w:sz="0" w:space="0" w:color="auto"/>
        <w:bottom w:val="none" w:sz="0" w:space="0" w:color="auto"/>
        <w:right w:val="none" w:sz="0" w:space="0" w:color="auto"/>
      </w:divBdr>
    </w:div>
    <w:div w:id="1315256746">
      <w:bodyDiv w:val="1"/>
      <w:marLeft w:val="0"/>
      <w:marRight w:val="0"/>
      <w:marTop w:val="0"/>
      <w:marBottom w:val="0"/>
      <w:divBdr>
        <w:top w:val="none" w:sz="0" w:space="0" w:color="auto"/>
        <w:left w:val="none" w:sz="0" w:space="0" w:color="auto"/>
        <w:bottom w:val="none" w:sz="0" w:space="0" w:color="auto"/>
        <w:right w:val="none" w:sz="0" w:space="0" w:color="auto"/>
      </w:divBdr>
    </w:div>
    <w:div w:id="1929970164">
      <w:bodyDiv w:val="1"/>
      <w:marLeft w:val="0"/>
      <w:marRight w:val="0"/>
      <w:marTop w:val="0"/>
      <w:marBottom w:val="0"/>
      <w:divBdr>
        <w:top w:val="none" w:sz="0" w:space="0" w:color="auto"/>
        <w:left w:val="none" w:sz="0" w:space="0" w:color="auto"/>
        <w:bottom w:val="none" w:sz="0" w:space="0" w:color="auto"/>
        <w:right w:val="none" w:sz="0" w:space="0" w:color="auto"/>
      </w:divBdr>
    </w:div>
    <w:div w:id="2066754922">
      <w:bodyDiv w:val="1"/>
      <w:marLeft w:val="0"/>
      <w:marRight w:val="0"/>
      <w:marTop w:val="0"/>
      <w:marBottom w:val="0"/>
      <w:divBdr>
        <w:top w:val="none" w:sz="0" w:space="0" w:color="auto"/>
        <w:left w:val="none" w:sz="0" w:space="0" w:color="auto"/>
        <w:bottom w:val="none" w:sz="0" w:space="0" w:color="auto"/>
        <w:right w:val="none" w:sz="0" w:space="0" w:color="auto"/>
      </w:divBdr>
    </w:div>
    <w:div w:id="209566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7.xml"/><Relationship Id="rId26" Type="http://schemas.openxmlformats.org/officeDocument/2006/relationships/hyperlink" Target="http://www.zsgniewczyna.pl/"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hart" Target="charts/chart16.xm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hyperlink" Target="http://www.zsgorzyce.cba.pl" TargetMode="External"/><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3.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zstryncza.itl.pl" TargetMode="External"/><Relationship Id="rId32" Type="http://schemas.openxmlformats.org/officeDocument/2006/relationships/image" Target="media/image4.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www.psp.ubieszyn.pl" TargetMode="External"/><Relationship Id="rId28" Type="http://schemas.openxmlformats.org/officeDocument/2006/relationships/chart" Target="charts/chart12.xml"/><Relationship Id="rId36" Type="http://schemas.openxmlformats.org/officeDocument/2006/relationships/image" Target="media/image6.png"/><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chart" Target="charts/chart15.xml"/><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yperlink" Target="http://www.zspipsjagiella.strefa.pl" TargetMode="External"/><Relationship Id="rId30" Type="http://schemas.openxmlformats.org/officeDocument/2006/relationships/chart" Target="charts/chart14.xml"/><Relationship Id="rId35" Type="http://schemas.openxmlformats.org/officeDocument/2006/relationships/chart" Target="charts/chart17.xml"/><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AppData\Local\Temp\Raport%255FDJP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Try&#324;cz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Try&#324;cz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kos2\Documents\PGN%20FIM\Try&#324;cza\Baza%20PGN%20Try&#324;cza%20(Automatycznie%20zapisany).xlsx%20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kos2\Documents\PGN%20FIM\Try&#324;cza\Baza%20PGN%20Try&#324;cza%20(Automatycznie%20zapisany).xlsx%20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kos2\Documents\PGN%20FIM\Try&#324;cza\Baza%20PGN%20Try&#324;cza%20(Automatycznie%20zapisany).xlsx%20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kos2\Documents\PGN%20FIM\Try&#324;cza\Baza%20PGN%20Try&#324;cza%20(Automatycznie%20zapisany).xlsx%20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Try&#324;cz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Try&#324;cz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AppData\Local\Temp\Raport%255FDJP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AppData\Local\Temp\Raport%255FDJP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AppData\Local\Temp\Raport%255FDJP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AppData\Local\Temp\Raport%255FDJP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Try&#324;cz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Try&#324;cz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Try&#324;cz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Try&#324;cz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1"/>
          <c:order val="1"/>
          <c:tx>
            <c:strRef>
              <c:f>'[Raport%5FDJPT.xlsx]Tablica'!$U$26</c:f>
              <c:strCache>
                <c:ptCount val="1"/>
                <c:pt idx="0">
                  <c:v>      mężczyźni</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'[Raport%5FDJPT.xlsx]Tablica'!$V$24:$AE$24</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'[Raport%5FDJPT.xlsx]Tablica'!$V$26:$AE$26</c:f>
              <c:numCache>
                <c:formatCode>[$-10419]0</c:formatCode>
                <c:ptCount val="10"/>
                <c:pt idx="0">
                  <c:v>4089</c:v>
                </c:pt>
                <c:pt idx="1">
                  <c:v>4056</c:v>
                </c:pt>
                <c:pt idx="2">
                  <c:v>4086</c:v>
                </c:pt>
                <c:pt idx="3">
                  <c:v>4094</c:v>
                </c:pt>
                <c:pt idx="4">
                  <c:v>4194</c:v>
                </c:pt>
                <c:pt idx="5">
                  <c:v>4200</c:v>
                </c:pt>
                <c:pt idx="6">
                  <c:v>4196</c:v>
                </c:pt>
                <c:pt idx="7">
                  <c:v>4172</c:v>
                </c:pt>
                <c:pt idx="8">
                  <c:v>4186</c:v>
                </c:pt>
                <c:pt idx="9">
                  <c:v>4202</c:v>
                </c:pt>
              </c:numCache>
            </c:numRef>
          </c:val>
        </c:ser>
        <c:ser>
          <c:idx val="2"/>
          <c:order val="2"/>
          <c:tx>
            <c:strRef>
              <c:f>'[Raport%5FDJPT.xlsx]Tablica'!$U$27</c:f>
              <c:strCache>
                <c:ptCount val="1"/>
                <c:pt idx="0">
                  <c:v>      kobiety</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'[Raport%5FDJPT.xlsx]Tablica'!$V$24:$AE$24</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'[Raport%5FDJPT.xlsx]Tablica'!$V$27:$AE$27</c:f>
              <c:numCache>
                <c:formatCode>[$-10419]0</c:formatCode>
                <c:ptCount val="10"/>
                <c:pt idx="0">
                  <c:v>4097</c:v>
                </c:pt>
                <c:pt idx="1">
                  <c:v>4085</c:v>
                </c:pt>
                <c:pt idx="2">
                  <c:v>4087</c:v>
                </c:pt>
                <c:pt idx="3">
                  <c:v>4085</c:v>
                </c:pt>
                <c:pt idx="4">
                  <c:v>4131</c:v>
                </c:pt>
                <c:pt idx="5">
                  <c:v>4139</c:v>
                </c:pt>
                <c:pt idx="6">
                  <c:v>4137</c:v>
                </c:pt>
                <c:pt idx="7">
                  <c:v>4144</c:v>
                </c:pt>
                <c:pt idx="8">
                  <c:v>4161</c:v>
                </c:pt>
                <c:pt idx="9">
                  <c:v>4179</c:v>
                </c:pt>
              </c:numCache>
            </c:numRef>
          </c:val>
        </c:ser>
        <c:dLbls>
          <c:showLegendKey val="0"/>
          <c:showVal val="0"/>
          <c:showCatName val="0"/>
          <c:showSerName val="0"/>
          <c:showPercent val="0"/>
          <c:showBubbleSize val="0"/>
        </c:dLbls>
        <c:gapWidth val="150"/>
        <c:overlap val="100"/>
        <c:axId val="389101104"/>
        <c:axId val="389101496"/>
      </c:barChart>
      <c:lineChart>
        <c:grouping val="standard"/>
        <c:varyColors val="0"/>
        <c:ser>
          <c:idx val="0"/>
          <c:order val="0"/>
          <c:tx>
            <c:strRef>
              <c:f>'[Raport%5FDJPT.xlsx]Tablica'!$U$25</c:f>
              <c:strCache>
                <c:ptCount val="1"/>
                <c:pt idx="0">
                  <c:v>      ogółem</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'[Raport%5FDJPT.xlsx]Tablica'!$V$24:$AE$24</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'[Raport%5FDJPT.xlsx]Tablica'!$V$25:$AE$25</c:f>
              <c:numCache>
                <c:formatCode>[$-10419]0</c:formatCode>
                <c:ptCount val="10"/>
                <c:pt idx="0">
                  <c:v>8186</c:v>
                </c:pt>
                <c:pt idx="1">
                  <c:v>8141</c:v>
                </c:pt>
                <c:pt idx="2">
                  <c:v>8173</c:v>
                </c:pt>
                <c:pt idx="3">
                  <c:v>8179</c:v>
                </c:pt>
                <c:pt idx="4">
                  <c:v>8325</c:v>
                </c:pt>
                <c:pt idx="5">
                  <c:v>8339</c:v>
                </c:pt>
                <c:pt idx="6">
                  <c:v>8333</c:v>
                </c:pt>
                <c:pt idx="7">
                  <c:v>8316</c:v>
                </c:pt>
                <c:pt idx="8">
                  <c:v>8347</c:v>
                </c:pt>
                <c:pt idx="9">
                  <c:v>8381</c:v>
                </c:pt>
              </c:numCache>
            </c:numRef>
          </c:val>
          <c:smooth val="0"/>
        </c:ser>
        <c:dLbls>
          <c:showLegendKey val="0"/>
          <c:showVal val="0"/>
          <c:showCatName val="0"/>
          <c:showSerName val="0"/>
          <c:showPercent val="0"/>
          <c:showBubbleSize val="0"/>
        </c:dLbls>
        <c:marker val="1"/>
        <c:smooth val="0"/>
        <c:axId val="389101104"/>
        <c:axId val="389101496"/>
      </c:lineChart>
      <c:catAx>
        <c:axId val="389101104"/>
        <c:scaling>
          <c:orientation val="minMax"/>
        </c:scaling>
        <c:delete val="0"/>
        <c:axPos val="b"/>
        <c:numFmt formatCode="General" sourceLinked="1"/>
        <c:majorTickMark val="out"/>
        <c:minorTickMark val="none"/>
        <c:tickLblPos val="nextTo"/>
        <c:crossAx val="389101496"/>
        <c:crosses val="autoZero"/>
        <c:auto val="1"/>
        <c:lblAlgn val="ctr"/>
        <c:lblOffset val="100"/>
        <c:noMultiLvlLbl val="0"/>
      </c:catAx>
      <c:valAx>
        <c:axId val="389101496"/>
        <c:scaling>
          <c:orientation val="minMax"/>
        </c:scaling>
        <c:delete val="0"/>
        <c:axPos val="l"/>
        <c:majorGridlines>
          <c:spPr>
            <a:ln>
              <a:solidFill>
                <a:schemeClr val="bg1">
                  <a:lumMod val="65000"/>
                </a:schemeClr>
              </a:solidFill>
            </a:ln>
          </c:spPr>
        </c:majorGridlines>
        <c:numFmt formatCode="[$-10419]0" sourceLinked="1"/>
        <c:majorTickMark val="out"/>
        <c:minorTickMark val="none"/>
        <c:tickLblPos val="nextTo"/>
        <c:crossAx val="389101104"/>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Tablica!$S$452</c:f>
              <c:strCache>
                <c:ptCount val="1"/>
                <c:pt idx="0">
                  <c:v>wydatki budżetu ogółem</c:v>
                </c:pt>
              </c:strCache>
            </c:strRef>
          </c:tx>
          <c:invertIfNegative val="0"/>
          <c:cat>
            <c:strRef>
              <c:f>Tablica!$T$451:$U$451</c:f>
              <c:strCache>
                <c:ptCount val="2"/>
                <c:pt idx="0">
                  <c:v>2015</c:v>
                </c:pt>
                <c:pt idx="1">
                  <c:v>2016</c:v>
                </c:pt>
              </c:strCache>
            </c:strRef>
          </c:cat>
          <c:val>
            <c:numRef>
              <c:f>Tablica!$T$452:$U$452</c:f>
              <c:numCache>
                <c:formatCode>[$-10419]0.00</c:formatCode>
                <c:ptCount val="2"/>
                <c:pt idx="0">
                  <c:v>28491934.609999999</c:v>
                </c:pt>
                <c:pt idx="1">
                  <c:v>28525350.800000001</c:v>
                </c:pt>
              </c:numCache>
            </c:numRef>
          </c:val>
        </c:ser>
        <c:ser>
          <c:idx val="1"/>
          <c:order val="1"/>
          <c:tx>
            <c:strRef>
              <c:f>Tablica!$S$453</c:f>
              <c:strCache>
                <c:ptCount val="1"/>
                <c:pt idx="0">
                  <c:v>wydatki w dziale 852 pomoc społeczna</c:v>
                </c:pt>
              </c:strCache>
            </c:strRef>
          </c:tx>
          <c:invertIfNegative val="0"/>
          <c:dLbls>
            <c:dLbl>
              <c:idx val="0"/>
              <c:layout>
                <c:manualLayout>
                  <c:x val="1.6064257028112448E-2"/>
                  <c:y val="0"/>
                </c:manualLayout>
              </c:layout>
              <c:tx>
                <c:rich>
                  <a:bodyPr/>
                  <a:lstStyle/>
                  <a:p>
                    <a:r>
                      <a:rPr lang="en-US"/>
                      <a:t>17,35%</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0080321285140562E-2"/>
                  <c:y val="0"/>
                </c:manualLayout>
              </c:layout>
              <c:tx>
                <c:rich>
                  <a:bodyPr/>
                  <a:lstStyle/>
                  <a:p>
                    <a:r>
                      <a:rPr lang="en-US"/>
                      <a:t>16,96%</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6064098915346426E-2"/>
                  <c:y val="-4.6457607433217189E-3"/>
                </c:manualLayout>
              </c:layout>
              <c:tx>
                <c:rich>
                  <a:bodyPr/>
                  <a:lstStyle/>
                  <a:p>
                    <a:r>
                      <a:rPr lang="pl-PL"/>
                      <a:t>16,08%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6064257028112448E-2"/>
                  <c:y val="0"/>
                </c:manualLayout>
              </c:layout>
              <c:tx>
                <c:rich>
                  <a:bodyPr/>
                  <a:lstStyle/>
                  <a:p>
                    <a:r>
                      <a:rPr lang="pl-PL"/>
                      <a:t>23,06%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0040160642570281E-2"/>
                  <c:y val="-9.2915214866434379E-3"/>
                </c:manualLayout>
              </c:layout>
              <c:tx>
                <c:rich>
                  <a:bodyPr/>
                  <a:lstStyle/>
                  <a:p>
                    <a:r>
                      <a:rPr lang="pl-PL"/>
                      <a:t>40,66%</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Tablica!$T$451:$U$451</c:f>
              <c:strCache>
                <c:ptCount val="2"/>
                <c:pt idx="0">
                  <c:v>2015</c:v>
                </c:pt>
                <c:pt idx="1">
                  <c:v>2016</c:v>
                </c:pt>
              </c:strCache>
            </c:strRef>
          </c:cat>
          <c:val>
            <c:numRef>
              <c:f>Tablica!$T$453:$U$453</c:f>
              <c:numCache>
                <c:formatCode>[$-10419]0.00</c:formatCode>
                <c:ptCount val="2"/>
                <c:pt idx="0">
                  <c:v>6570002.2800000003</c:v>
                </c:pt>
                <c:pt idx="1">
                  <c:v>11597835.93</c:v>
                </c:pt>
              </c:numCache>
            </c:numRef>
          </c:val>
        </c:ser>
        <c:dLbls>
          <c:showLegendKey val="0"/>
          <c:showVal val="0"/>
          <c:showCatName val="0"/>
          <c:showSerName val="0"/>
          <c:showPercent val="0"/>
          <c:showBubbleSize val="0"/>
        </c:dLbls>
        <c:gapWidth val="150"/>
        <c:axId val="383564192"/>
        <c:axId val="383568504"/>
      </c:barChart>
      <c:catAx>
        <c:axId val="383564192"/>
        <c:scaling>
          <c:orientation val="minMax"/>
        </c:scaling>
        <c:delete val="0"/>
        <c:axPos val="b"/>
        <c:numFmt formatCode="General" sourceLinked="0"/>
        <c:majorTickMark val="out"/>
        <c:minorTickMark val="none"/>
        <c:tickLblPos val="nextTo"/>
        <c:crossAx val="383568504"/>
        <c:crosses val="autoZero"/>
        <c:auto val="1"/>
        <c:lblAlgn val="ctr"/>
        <c:lblOffset val="100"/>
        <c:noMultiLvlLbl val="0"/>
      </c:catAx>
      <c:valAx>
        <c:axId val="383568504"/>
        <c:scaling>
          <c:orientation val="minMax"/>
        </c:scaling>
        <c:delete val="0"/>
        <c:axPos val="l"/>
        <c:majorGridlines/>
        <c:numFmt formatCode="[$-10419]0.00" sourceLinked="1"/>
        <c:majorTickMark val="out"/>
        <c:minorTickMark val="none"/>
        <c:tickLblPos val="nextTo"/>
        <c:crossAx val="383564192"/>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Tablica!$T$2220</c:f>
              <c:strCache>
                <c:ptCount val="1"/>
                <c:pt idx="0">
                  <c:v>2010</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Tablica!$S$2221:$S$2223</c:f>
              <c:strCache>
                <c:ptCount val="3"/>
                <c:pt idx="0">
                  <c:v>      wodociąg</c:v>
                </c:pt>
                <c:pt idx="1">
                  <c:v>      kanalizacja</c:v>
                </c:pt>
                <c:pt idx="2">
                  <c:v>      gaz</c:v>
                </c:pt>
              </c:strCache>
            </c:strRef>
          </c:cat>
          <c:val>
            <c:numRef>
              <c:f>Tablica!$T$2221:$T$2223</c:f>
              <c:numCache>
                <c:formatCode>[$-10419]0.0</c:formatCode>
                <c:ptCount val="3"/>
                <c:pt idx="0">
                  <c:v>92.3</c:v>
                </c:pt>
                <c:pt idx="1">
                  <c:v>57.8</c:v>
                </c:pt>
                <c:pt idx="2">
                  <c:v>60.1</c:v>
                </c:pt>
              </c:numCache>
            </c:numRef>
          </c:val>
        </c:ser>
        <c:ser>
          <c:idx val="1"/>
          <c:order val="1"/>
          <c:tx>
            <c:strRef>
              <c:f>Tablica!$U$2220</c:f>
              <c:strCache>
                <c:ptCount val="1"/>
                <c:pt idx="0">
                  <c:v>2011</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Tablica!$S$2221:$S$2223</c:f>
              <c:strCache>
                <c:ptCount val="3"/>
                <c:pt idx="0">
                  <c:v>      wodociąg</c:v>
                </c:pt>
                <c:pt idx="1">
                  <c:v>      kanalizacja</c:v>
                </c:pt>
                <c:pt idx="2">
                  <c:v>      gaz</c:v>
                </c:pt>
              </c:strCache>
            </c:strRef>
          </c:cat>
          <c:val>
            <c:numRef>
              <c:f>Tablica!$U$2221:$U$2223</c:f>
              <c:numCache>
                <c:formatCode>[$-10419]0.0</c:formatCode>
                <c:ptCount val="3"/>
                <c:pt idx="0">
                  <c:v>92.4</c:v>
                </c:pt>
                <c:pt idx="1">
                  <c:v>59.1</c:v>
                </c:pt>
                <c:pt idx="2">
                  <c:v>60.2</c:v>
                </c:pt>
              </c:numCache>
            </c:numRef>
          </c:val>
        </c:ser>
        <c:ser>
          <c:idx val="2"/>
          <c:order val="2"/>
          <c:tx>
            <c:strRef>
              <c:f>Tablica!$V$2220</c:f>
              <c:strCache>
                <c:ptCount val="1"/>
                <c:pt idx="0">
                  <c:v>2012</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Tablica!$S$2221:$S$2223</c:f>
              <c:strCache>
                <c:ptCount val="3"/>
                <c:pt idx="0">
                  <c:v>      wodociąg</c:v>
                </c:pt>
                <c:pt idx="1">
                  <c:v>      kanalizacja</c:v>
                </c:pt>
                <c:pt idx="2">
                  <c:v>      gaz</c:v>
                </c:pt>
              </c:strCache>
            </c:strRef>
          </c:cat>
          <c:val>
            <c:numRef>
              <c:f>Tablica!$V$2221:$V$2223</c:f>
              <c:numCache>
                <c:formatCode>[$-10419]0.0</c:formatCode>
                <c:ptCount val="3"/>
                <c:pt idx="0">
                  <c:v>92.5</c:v>
                </c:pt>
                <c:pt idx="1">
                  <c:v>59.9</c:v>
                </c:pt>
                <c:pt idx="2">
                  <c:v>60.2</c:v>
                </c:pt>
              </c:numCache>
            </c:numRef>
          </c:val>
        </c:ser>
        <c:ser>
          <c:idx val="3"/>
          <c:order val="3"/>
          <c:tx>
            <c:strRef>
              <c:f>Tablica!$W$2220</c:f>
              <c:strCache>
                <c:ptCount val="1"/>
                <c:pt idx="0">
                  <c:v>2013</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Tablica!$S$2221:$S$2223</c:f>
              <c:strCache>
                <c:ptCount val="3"/>
                <c:pt idx="0">
                  <c:v>      wodociąg</c:v>
                </c:pt>
                <c:pt idx="1">
                  <c:v>      kanalizacja</c:v>
                </c:pt>
                <c:pt idx="2">
                  <c:v>      gaz</c:v>
                </c:pt>
              </c:strCache>
            </c:strRef>
          </c:cat>
          <c:val>
            <c:numRef>
              <c:f>Tablica!$W$2221:$W$2223</c:f>
              <c:numCache>
                <c:formatCode>[$-10419]0.0</c:formatCode>
                <c:ptCount val="3"/>
                <c:pt idx="0">
                  <c:v>92.6</c:v>
                </c:pt>
                <c:pt idx="1">
                  <c:v>60.5</c:v>
                </c:pt>
                <c:pt idx="2">
                  <c:v>60</c:v>
                </c:pt>
              </c:numCache>
            </c:numRef>
          </c:val>
        </c:ser>
        <c:ser>
          <c:idx val="4"/>
          <c:order val="4"/>
          <c:tx>
            <c:strRef>
              <c:f>Tablica!$X$2220</c:f>
              <c:strCache>
                <c:ptCount val="1"/>
                <c:pt idx="0">
                  <c:v>2014</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Tablica!$S$2221:$S$2223</c:f>
              <c:strCache>
                <c:ptCount val="3"/>
                <c:pt idx="0">
                  <c:v>      wodociąg</c:v>
                </c:pt>
                <c:pt idx="1">
                  <c:v>      kanalizacja</c:v>
                </c:pt>
                <c:pt idx="2">
                  <c:v>      gaz</c:v>
                </c:pt>
              </c:strCache>
            </c:strRef>
          </c:cat>
          <c:val>
            <c:numRef>
              <c:f>Tablica!$X$2221:$X$2223</c:f>
              <c:numCache>
                <c:formatCode>[$-10419]0.0</c:formatCode>
                <c:ptCount val="3"/>
                <c:pt idx="0">
                  <c:v>95.2</c:v>
                </c:pt>
                <c:pt idx="1">
                  <c:v>81.7</c:v>
                </c:pt>
                <c:pt idx="2">
                  <c:v>59.8</c:v>
                </c:pt>
              </c:numCache>
            </c:numRef>
          </c:val>
        </c:ser>
        <c:ser>
          <c:idx val="5"/>
          <c:order val="5"/>
          <c:tx>
            <c:strRef>
              <c:f>Tablica!$Y$2220</c:f>
              <c:strCache>
                <c:ptCount val="1"/>
                <c:pt idx="0">
                  <c:v>2015</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Tablica!$S$2221:$S$2223</c:f>
              <c:strCache>
                <c:ptCount val="3"/>
                <c:pt idx="0">
                  <c:v>      wodociąg</c:v>
                </c:pt>
                <c:pt idx="1">
                  <c:v>      kanalizacja</c:v>
                </c:pt>
                <c:pt idx="2">
                  <c:v>      gaz</c:v>
                </c:pt>
              </c:strCache>
            </c:strRef>
          </c:cat>
          <c:val>
            <c:numRef>
              <c:f>Tablica!$Y$2221:$Y$2223</c:f>
              <c:numCache>
                <c:formatCode>[$-10419]0.0</c:formatCode>
                <c:ptCount val="3"/>
                <c:pt idx="0">
                  <c:v>95.3</c:v>
                </c:pt>
                <c:pt idx="1">
                  <c:v>82.3</c:v>
                </c:pt>
                <c:pt idx="2">
                  <c:v>59.4</c:v>
                </c:pt>
              </c:numCache>
            </c:numRef>
          </c:val>
        </c:ser>
        <c:dLbls>
          <c:dLblPos val="ctr"/>
          <c:showLegendKey val="0"/>
          <c:showVal val="1"/>
          <c:showCatName val="0"/>
          <c:showSerName val="0"/>
          <c:showPercent val="0"/>
          <c:showBubbleSize val="0"/>
        </c:dLbls>
        <c:gapWidth val="150"/>
        <c:axId val="383562232"/>
        <c:axId val="383564584"/>
      </c:barChart>
      <c:catAx>
        <c:axId val="383562232"/>
        <c:scaling>
          <c:orientation val="minMax"/>
        </c:scaling>
        <c:delete val="0"/>
        <c:axPos val="b"/>
        <c:numFmt formatCode="General" sourceLinked="1"/>
        <c:majorTickMark val="out"/>
        <c:minorTickMark val="none"/>
        <c:tickLblPos val="nextTo"/>
        <c:crossAx val="383564584"/>
        <c:crosses val="autoZero"/>
        <c:auto val="1"/>
        <c:lblAlgn val="ctr"/>
        <c:lblOffset val="100"/>
        <c:noMultiLvlLbl val="0"/>
      </c:catAx>
      <c:valAx>
        <c:axId val="383564584"/>
        <c:scaling>
          <c:orientation val="minMax"/>
          <c:max val="100"/>
        </c:scaling>
        <c:delete val="0"/>
        <c:axPos val="l"/>
        <c:majorGridlines/>
        <c:numFmt formatCode="[$-10419]0.0" sourceLinked="1"/>
        <c:majorTickMark val="out"/>
        <c:minorTickMark val="none"/>
        <c:tickLblPos val="nextTo"/>
        <c:crossAx val="383562232"/>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595-4A77-9AA6-345ABF3D21FF}"/>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595-4A77-9AA6-345ABF3D21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'ankiety mieszkańcy'!$C$64:$D$64</c:f>
              <c:strCache>
                <c:ptCount val="2"/>
                <c:pt idx="0">
                  <c:v>jednorodzinny wolnostojący</c:v>
                </c:pt>
                <c:pt idx="1">
                  <c:v>zagrodowy</c:v>
                </c:pt>
              </c:strCache>
            </c:strRef>
          </c:cat>
          <c:val>
            <c:numRef>
              <c:f>'ankiety mieszkańcy'!$C$65:$D$65</c:f>
              <c:numCache>
                <c:formatCode>0%</c:formatCode>
                <c:ptCount val="2"/>
                <c:pt idx="0">
                  <c:v>0.8928571428571429</c:v>
                </c:pt>
                <c:pt idx="1">
                  <c:v>8.9285714285714288E-2</c:v>
                </c:pt>
              </c:numCache>
            </c:numRef>
          </c:val>
          <c:extLst xmlns:c16r2="http://schemas.microsoft.com/office/drawing/2015/06/chart">
            <c:ext xmlns:c16="http://schemas.microsoft.com/office/drawing/2014/chart" uri="{C3380CC4-5D6E-409C-BE32-E72D297353CC}">
              <c16:uniqueId val="{00000004-C595-4A77-9AA6-345ABF3D21FF}"/>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C1B-4B2C-BBAE-5B1CCBD1FD9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C1B-4B2C-BBAE-5B1CCBD1FD98}"/>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C1B-4B2C-BBAE-5B1CCBD1FD98}"/>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C1B-4B2C-BBAE-5B1CCBD1FD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'ankiety mieszkańcy'!$Q$64:$T$64</c:f>
              <c:strCache>
                <c:ptCount val="4"/>
                <c:pt idx="0">
                  <c:v>parterowy</c:v>
                </c:pt>
                <c:pt idx="1">
                  <c:v>piętrowy</c:v>
                </c:pt>
                <c:pt idx="2">
                  <c:v>dwupiętrowy</c:v>
                </c:pt>
                <c:pt idx="3">
                  <c:v>brak odpowiedzi</c:v>
                </c:pt>
              </c:strCache>
            </c:strRef>
          </c:cat>
          <c:val>
            <c:numRef>
              <c:f>'ankiety mieszkańcy'!$Q$65:$T$65</c:f>
              <c:numCache>
                <c:formatCode>0%</c:formatCode>
                <c:ptCount val="4"/>
                <c:pt idx="0">
                  <c:v>0.39285714285714285</c:v>
                </c:pt>
                <c:pt idx="1">
                  <c:v>0.4642857142857143</c:v>
                </c:pt>
                <c:pt idx="2">
                  <c:v>8.9285714285714288E-2</c:v>
                </c:pt>
                <c:pt idx="3">
                  <c:v>5.3571428571428568E-2</c:v>
                </c:pt>
              </c:numCache>
            </c:numRef>
          </c:val>
          <c:extLst xmlns:c16r2="http://schemas.microsoft.com/office/drawing/2015/06/chart">
            <c:ext xmlns:c16="http://schemas.microsoft.com/office/drawing/2014/chart" uri="{C3380CC4-5D6E-409C-BE32-E72D297353CC}">
              <c16:uniqueId val="{00000008-DC1B-4B2C-BBAE-5B1CCBD1FD98}"/>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A3D-4407-B563-6D1FAC7BD10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A3D-4407-B563-6D1FAC7BD10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A3D-4407-B563-6D1FAC7BD10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A3D-4407-B563-6D1FAC7BD10E}"/>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A3D-4407-B563-6D1FAC7BD1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'ankiety mieszkańcy'!$AG$64:$AK$64</c:f>
              <c:strCache>
                <c:ptCount val="5"/>
                <c:pt idx="0">
                  <c:v>mniej niż 80m2</c:v>
                </c:pt>
                <c:pt idx="1">
                  <c:v>80-120 m2</c:v>
                </c:pt>
                <c:pt idx="2">
                  <c:v>120-200m2</c:v>
                </c:pt>
                <c:pt idx="3">
                  <c:v>więcej niż 200m2</c:v>
                </c:pt>
                <c:pt idx="4">
                  <c:v>brak odpowiedzi</c:v>
                </c:pt>
              </c:strCache>
            </c:strRef>
          </c:cat>
          <c:val>
            <c:numRef>
              <c:f>'ankiety mieszkańcy'!$AG$65:$AK$65</c:f>
              <c:numCache>
                <c:formatCode>0.00%</c:formatCode>
                <c:ptCount val="5"/>
                <c:pt idx="0">
                  <c:v>0.10714285714285714</c:v>
                </c:pt>
                <c:pt idx="1">
                  <c:v>0.25</c:v>
                </c:pt>
                <c:pt idx="2">
                  <c:v>0.39285714285714285</c:v>
                </c:pt>
                <c:pt idx="3">
                  <c:v>0.14285714285714285</c:v>
                </c:pt>
                <c:pt idx="4">
                  <c:v>8.9285714285714288E-2</c:v>
                </c:pt>
              </c:numCache>
            </c:numRef>
          </c:val>
          <c:extLst xmlns:c16r2="http://schemas.microsoft.com/office/drawing/2015/06/chart">
            <c:ext xmlns:c16="http://schemas.microsoft.com/office/drawing/2014/chart" uri="{C3380CC4-5D6E-409C-BE32-E72D297353CC}">
              <c16:uniqueId val="{0000000A-FA3D-4407-B563-6D1FAC7BD10E}"/>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3E3-453A-9E76-3BF9A086EB7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3E3-453A-9E76-3BF9A086EB7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3E3-453A-9E76-3BF9A086EB74}"/>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3E3-453A-9E76-3BF9A086EB74}"/>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73E3-453A-9E76-3BF9A086EB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'ankiety mieszkańcy'!$Y$64:$AC$64</c:f>
              <c:strCache>
                <c:ptCount val="5"/>
                <c:pt idx="0">
                  <c:v>przed 1950</c:v>
                </c:pt>
                <c:pt idx="1">
                  <c:v>1950-1999</c:v>
                </c:pt>
                <c:pt idx="2">
                  <c:v>2000-2009</c:v>
                </c:pt>
                <c:pt idx="3">
                  <c:v>2010 i później</c:v>
                </c:pt>
                <c:pt idx="4">
                  <c:v>brak odpowiedzi</c:v>
                </c:pt>
              </c:strCache>
            </c:strRef>
          </c:cat>
          <c:val>
            <c:numRef>
              <c:f>'ankiety mieszkańcy'!$Y$65:$AC$65</c:f>
              <c:numCache>
                <c:formatCode>0.0%</c:formatCode>
                <c:ptCount val="5"/>
                <c:pt idx="0">
                  <c:v>5.3571428571428568E-2</c:v>
                </c:pt>
                <c:pt idx="1">
                  <c:v>0.7142857142857143</c:v>
                </c:pt>
                <c:pt idx="2">
                  <c:v>0.16071428571428573</c:v>
                </c:pt>
                <c:pt idx="3">
                  <c:v>1.7857142857142856E-2</c:v>
                </c:pt>
                <c:pt idx="4">
                  <c:v>3.5714285714285712E-2</c:v>
                </c:pt>
              </c:numCache>
            </c:numRef>
          </c:val>
          <c:extLst xmlns:c16r2="http://schemas.microsoft.com/office/drawing/2015/06/chart">
            <c:ext xmlns:c16="http://schemas.microsoft.com/office/drawing/2014/chart" uri="{C3380CC4-5D6E-409C-BE32-E72D297353CC}">
              <c16:uniqueId val="{0000000A-73E3-453A-9E76-3BF9A086EB74}"/>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Tablica!$R$5509</c:f>
              <c:strCache>
                <c:ptCount val="1"/>
                <c:pt idx="0">
                  <c:v>liczba podmiotów </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Tablica!$S$5508:$Y$5508</c:f>
              <c:numCache>
                <c:formatCode>General</c:formatCode>
                <c:ptCount val="7"/>
                <c:pt idx="0">
                  <c:v>2010</c:v>
                </c:pt>
                <c:pt idx="1">
                  <c:v>2011</c:v>
                </c:pt>
                <c:pt idx="2">
                  <c:v>2012</c:v>
                </c:pt>
                <c:pt idx="3">
                  <c:v>2013</c:v>
                </c:pt>
                <c:pt idx="4">
                  <c:v>2014</c:v>
                </c:pt>
                <c:pt idx="5">
                  <c:v>2015</c:v>
                </c:pt>
                <c:pt idx="6">
                  <c:v>2016</c:v>
                </c:pt>
              </c:numCache>
            </c:numRef>
          </c:cat>
          <c:val>
            <c:numRef>
              <c:f>Tablica!$S$5509:$Y$5509</c:f>
              <c:numCache>
                <c:formatCode>[$-10419]0</c:formatCode>
                <c:ptCount val="7"/>
                <c:pt idx="0">
                  <c:v>333</c:v>
                </c:pt>
                <c:pt idx="1">
                  <c:v>315</c:v>
                </c:pt>
                <c:pt idx="2">
                  <c:v>325</c:v>
                </c:pt>
                <c:pt idx="3">
                  <c:v>349</c:v>
                </c:pt>
                <c:pt idx="4">
                  <c:v>370</c:v>
                </c:pt>
                <c:pt idx="5">
                  <c:v>408</c:v>
                </c:pt>
                <c:pt idx="6">
                  <c:v>433</c:v>
                </c:pt>
              </c:numCache>
            </c:numRef>
          </c:val>
        </c:ser>
        <c:dLbls>
          <c:showLegendKey val="0"/>
          <c:showVal val="0"/>
          <c:showCatName val="0"/>
          <c:showSerName val="0"/>
          <c:showPercent val="0"/>
          <c:showBubbleSize val="0"/>
        </c:dLbls>
        <c:gapWidth val="150"/>
        <c:axId val="383567720"/>
        <c:axId val="383568112"/>
      </c:barChart>
      <c:catAx>
        <c:axId val="383567720"/>
        <c:scaling>
          <c:orientation val="minMax"/>
        </c:scaling>
        <c:delete val="0"/>
        <c:axPos val="b"/>
        <c:numFmt formatCode="General" sourceLinked="1"/>
        <c:majorTickMark val="out"/>
        <c:minorTickMark val="none"/>
        <c:tickLblPos val="nextTo"/>
        <c:crossAx val="383568112"/>
        <c:crosses val="autoZero"/>
        <c:auto val="1"/>
        <c:lblAlgn val="ctr"/>
        <c:lblOffset val="100"/>
        <c:noMultiLvlLbl val="0"/>
      </c:catAx>
      <c:valAx>
        <c:axId val="383568112"/>
        <c:scaling>
          <c:orientation val="minMax"/>
        </c:scaling>
        <c:delete val="0"/>
        <c:axPos val="l"/>
        <c:majorGridlines/>
        <c:numFmt formatCode="[$-10419]0" sourceLinked="1"/>
        <c:majorTickMark val="out"/>
        <c:minorTickMark val="none"/>
        <c:tickLblPos val="nextTo"/>
        <c:crossAx val="383567720"/>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dLblPos val="bestFit"/>
            <c:showLegendKey val="0"/>
            <c:showVal val="1"/>
            <c:showCatName val="1"/>
            <c:showSerName val="0"/>
            <c:showPercent val="1"/>
            <c:showBubbleSize val="0"/>
            <c:showLeaderLines val="1"/>
            <c:extLst>
              <c:ext xmlns:c15="http://schemas.microsoft.com/office/drawing/2012/chart" uri="{CE6537A1-D6FC-4f65-9D91-7224C49458BB}"/>
            </c:extLst>
          </c:dLbls>
          <c:cat>
            <c:strRef>
              <c:f>Tablica!$S$5527:$S$5540</c:f>
              <c:strCache>
                <c:ptCount val="14"/>
                <c:pt idx="0">
                  <c:v>sekcja A</c:v>
                </c:pt>
                <c:pt idx="1">
                  <c:v>sekcja C</c:v>
                </c:pt>
                <c:pt idx="2">
                  <c:v>sekcja F</c:v>
                </c:pt>
                <c:pt idx="3">
                  <c:v>sekcja G</c:v>
                </c:pt>
                <c:pt idx="4">
                  <c:v>sekcja H</c:v>
                </c:pt>
                <c:pt idx="5">
                  <c:v>Sekcja I</c:v>
                </c:pt>
                <c:pt idx="6">
                  <c:v>Sekcja J</c:v>
                </c:pt>
                <c:pt idx="7">
                  <c:v>sekcja M</c:v>
                </c:pt>
                <c:pt idx="8">
                  <c:v>sekcja N</c:v>
                </c:pt>
                <c:pt idx="9">
                  <c:v>Sekcja O</c:v>
                </c:pt>
                <c:pt idx="10">
                  <c:v>Sekcja P</c:v>
                </c:pt>
                <c:pt idx="11">
                  <c:v>Sekcja Q</c:v>
                </c:pt>
                <c:pt idx="12">
                  <c:v>sekcja ST</c:v>
                </c:pt>
                <c:pt idx="13">
                  <c:v>pozostałe</c:v>
                </c:pt>
              </c:strCache>
            </c:strRef>
          </c:cat>
          <c:val>
            <c:numRef>
              <c:f>Tablica!$T$5527:$T$5540</c:f>
              <c:numCache>
                <c:formatCode>General</c:formatCode>
                <c:ptCount val="14"/>
                <c:pt idx="0">
                  <c:v>8</c:v>
                </c:pt>
                <c:pt idx="1">
                  <c:v>62</c:v>
                </c:pt>
                <c:pt idx="2">
                  <c:v>80</c:v>
                </c:pt>
                <c:pt idx="3">
                  <c:v>87</c:v>
                </c:pt>
                <c:pt idx="4">
                  <c:v>46</c:v>
                </c:pt>
                <c:pt idx="5">
                  <c:v>9</c:v>
                </c:pt>
                <c:pt idx="6">
                  <c:v>10</c:v>
                </c:pt>
                <c:pt idx="7">
                  <c:v>19</c:v>
                </c:pt>
                <c:pt idx="8">
                  <c:v>6</c:v>
                </c:pt>
                <c:pt idx="9" formatCode="[$-10419]0">
                  <c:v>9</c:v>
                </c:pt>
                <c:pt idx="10" formatCode="[$-10419]0">
                  <c:v>18</c:v>
                </c:pt>
                <c:pt idx="11" formatCode="[$-10419]0">
                  <c:v>16</c:v>
                </c:pt>
                <c:pt idx="12">
                  <c:v>42</c:v>
                </c:pt>
                <c:pt idx="13">
                  <c:v>21</c:v>
                </c:pt>
              </c:numCache>
            </c:numRef>
          </c:val>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'[Raport%5FDJPT.xlsx]Tablica'!$U$408</c:f>
              <c:strCache>
                <c:ptCount val="1"/>
                <c:pt idx="0">
                  <c:v>      ludność w wieku poprodukcyjnym na 100 osób w wieku przedprodukcyjnym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'[Raport%5FDJPT.xlsx]Tablica'!$V$407:$AE$407</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'[Raport%5FDJPT.xlsx]Tablica'!$V$408:$AE$408</c:f>
              <c:numCache>
                <c:formatCode>[$-10419]0.0</c:formatCode>
                <c:ptCount val="10"/>
                <c:pt idx="0">
                  <c:v>64.599999999999994</c:v>
                </c:pt>
                <c:pt idx="1">
                  <c:v>66.599999999999994</c:v>
                </c:pt>
                <c:pt idx="2">
                  <c:v>68.400000000000006</c:v>
                </c:pt>
                <c:pt idx="3">
                  <c:v>69.099999999999994</c:v>
                </c:pt>
                <c:pt idx="4">
                  <c:v>69.3</c:v>
                </c:pt>
                <c:pt idx="5">
                  <c:v>71.8</c:v>
                </c:pt>
                <c:pt idx="6">
                  <c:v>73.099999999999994</c:v>
                </c:pt>
                <c:pt idx="7">
                  <c:v>75.5</c:v>
                </c:pt>
                <c:pt idx="8">
                  <c:v>76.900000000000006</c:v>
                </c:pt>
                <c:pt idx="9">
                  <c:v>80.2</c:v>
                </c:pt>
              </c:numCache>
            </c:numRef>
          </c:val>
        </c:ser>
        <c:dLbls>
          <c:showLegendKey val="0"/>
          <c:showVal val="0"/>
          <c:showCatName val="0"/>
          <c:showSerName val="0"/>
          <c:showPercent val="0"/>
          <c:showBubbleSize val="0"/>
        </c:dLbls>
        <c:gapWidth val="150"/>
        <c:axId val="389107376"/>
        <c:axId val="389104240"/>
      </c:barChart>
      <c:catAx>
        <c:axId val="389107376"/>
        <c:scaling>
          <c:orientation val="minMax"/>
        </c:scaling>
        <c:delete val="0"/>
        <c:axPos val="b"/>
        <c:numFmt formatCode="General" sourceLinked="1"/>
        <c:majorTickMark val="out"/>
        <c:minorTickMark val="none"/>
        <c:tickLblPos val="nextTo"/>
        <c:crossAx val="389104240"/>
        <c:crosses val="autoZero"/>
        <c:auto val="1"/>
        <c:lblAlgn val="ctr"/>
        <c:lblOffset val="100"/>
        <c:noMultiLvlLbl val="0"/>
      </c:catAx>
      <c:valAx>
        <c:axId val="389104240"/>
        <c:scaling>
          <c:orientation val="minMax"/>
        </c:scaling>
        <c:delete val="0"/>
        <c:axPos val="l"/>
        <c:majorGridlines/>
        <c:numFmt formatCode="[$-10419]0.0" sourceLinked="1"/>
        <c:majorTickMark val="out"/>
        <c:minorTickMark val="none"/>
        <c:tickLblPos val="nextTo"/>
        <c:crossAx val="389107376"/>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1"/>
          <c:order val="1"/>
          <c:tx>
            <c:strRef>
              <c:f>'[Raport%5FDJPT.xlsx]Tablica'!$Y$2697</c:f>
              <c:strCache>
                <c:ptCount val="1"/>
                <c:pt idx="0">
                  <c:v>mężczyźni</c:v>
                </c:pt>
              </c:strCache>
            </c:strRef>
          </c:tx>
          <c:invertIfNegative val="0"/>
          <c:cat>
            <c:numRef>
              <c:f>'[Raport%5FDJPT.xlsx]Tablica'!$Z$2695:$AF$2695</c:f>
              <c:numCache>
                <c:formatCode>General</c:formatCode>
                <c:ptCount val="7"/>
                <c:pt idx="0">
                  <c:v>2006</c:v>
                </c:pt>
                <c:pt idx="1">
                  <c:v>2008</c:v>
                </c:pt>
                <c:pt idx="2">
                  <c:v>2010</c:v>
                </c:pt>
                <c:pt idx="3">
                  <c:v>2012</c:v>
                </c:pt>
                <c:pt idx="4">
                  <c:v>2014</c:v>
                </c:pt>
                <c:pt idx="5">
                  <c:v>2015</c:v>
                </c:pt>
                <c:pt idx="6">
                  <c:v>2016</c:v>
                </c:pt>
              </c:numCache>
            </c:numRef>
          </c:cat>
          <c:val>
            <c:numRef>
              <c:f>'[Raport%5FDJPT.xlsx]Tablica'!$Z$2697:$AF$2697</c:f>
              <c:numCache>
                <c:formatCode>[$-10419]0</c:formatCode>
                <c:ptCount val="7"/>
                <c:pt idx="0">
                  <c:v>266</c:v>
                </c:pt>
                <c:pt idx="1">
                  <c:v>231</c:v>
                </c:pt>
                <c:pt idx="2">
                  <c:v>355</c:v>
                </c:pt>
                <c:pt idx="3">
                  <c:v>392</c:v>
                </c:pt>
                <c:pt idx="4">
                  <c:v>334</c:v>
                </c:pt>
                <c:pt idx="5">
                  <c:v>353</c:v>
                </c:pt>
                <c:pt idx="6">
                  <c:v>283</c:v>
                </c:pt>
              </c:numCache>
            </c:numRef>
          </c:val>
        </c:ser>
        <c:ser>
          <c:idx val="2"/>
          <c:order val="2"/>
          <c:tx>
            <c:strRef>
              <c:f>'[Raport%5FDJPT.xlsx]Tablica'!$Y$2698</c:f>
              <c:strCache>
                <c:ptCount val="1"/>
                <c:pt idx="0">
                  <c:v>kobiety</c:v>
                </c:pt>
              </c:strCache>
            </c:strRef>
          </c:tx>
          <c:invertIfNegative val="0"/>
          <c:cat>
            <c:numRef>
              <c:f>'[Raport%5FDJPT.xlsx]Tablica'!$Z$2695:$AF$2695</c:f>
              <c:numCache>
                <c:formatCode>General</c:formatCode>
                <c:ptCount val="7"/>
                <c:pt idx="0">
                  <c:v>2006</c:v>
                </c:pt>
                <c:pt idx="1">
                  <c:v>2008</c:v>
                </c:pt>
                <c:pt idx="2">
                  <c:v>2010</c:v>
                </c:pt>
                <c:pt idx="3">
                  <c:v>2012</c:v>
                </c:pt>
                <c:pt idx="4">
                  <c:v>2014</c:v>
                </c:pt>
                <c:pt idx="5">
                  <c:v>2015</c:v>
                </c:pt>
                <c:pt idx="6">
                  <c:v>2016</c:v>
                </c:pt>
              </c:numCache>
            </c:numRef>
          </c:cat>
          <c:val>
            <c:numRef>
              <c:f>'[Raport%5FDJPT.xlsx]Tablica'!$Z$2698:$AF$2698</c:f>
              <c:numCache>
                <c:formatCode>[$-10419]0</c:formatCode>
                <c:ptCount val="7"/>
                <c:pt idx="0">
                  <c:v>298</c:v>
                </c:pt>
                <c:pt idx="1">
                  <c:v>261</c:v>
                </c:pt>
                <c:pt idx="2">
                  <c:v>373</c:v>
                </c:pt>
                <c:pt idx="3">
                  <c:v>383</c:v>
                </c:pt>
                <c:pt idx="4">
                  <c:v>327</c:v>
                </c:pt>
                <c:pt idx="5">
                  <c:v>357</c:v>
                </c:pt>
                <c:pt idx="6">
                  <c:v>364</c:v>
                </c:pt>
              </c:numCache>
            </c:numRef>
          </c:val>
        </c:ser>
        <c:dLbls>
          <c:showLegendKey val="0"/>
          <c:showVal val="0"/>
          <c:showCatName val="0"/>
          <c:showSerName val="0"/>
          <c:showPercent val="0"/>
          <c:showBubbleSize val="0"/>
        </c:dLbls>
        <c:gapWidth val="150"/>
        <c:overlap val="100"/>
        <c:axId val="389105024"/>
        <c:axId val="389102280"/>
      </c:barChart>
      <c:lineChart>
        <c:grouping val="standard"/>
        <c:varyColors val="0"/>
        <c:ser>
          <c:idx val="0"/>
          <c:order val="0"/>
          <c:tx>
            <c:strRef>
              <c:f>'[Raport%5FDJPT.xlsx]Tablica'!$Y$2696</c:f>
              <c:strCache>
                <c:ptCount val="1"/>
                <c:pt idx="0">
                  <c:v>liczba osób bezrobotnych</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'[Raport%5FDJPT.xlsx]Tablica'!$Z$2695:$AF$2695</c:f>
              <c:numCache>
                <c:formatCode>General</c:formatCode>
                <c:ptCount val="7"/>
                <c:pt idx="0">
                  <c:v>2006</c:v>
                </c:pt>
                <c:pt idx="1">
                  <c:v>2008</c:v>
                </c:pt>
                <c:pt idx="2">
                  <c:v>2010</c:v>
                </c:pt>
                <c:pt idx="3">
                  <c:v>2012</c:v>
                </c:pt>
                <c:pt idx="4">
                  <c:v>2014</c:v>
                </c:pt>
                <c:pt idx="5">
                  <c:v>2015</c:v>
                </c:pt>
                <c:pt idx="6">
                  <c:v>2016</c:v>
                </c:pt>
              </c:numCache>
            </c:numRef>
          </c:cat>
          <c:val>
            <c:numRef>
              <c:f>'[Raport%5FDJPT.xlsx]Tablica'!$Z$2696:$AF$2696</c:f>
              <c:numCache>
                <c:formatCode>[$-10419]0</c:formatCode>
                <c:ptCount val="7"/>
                <c:pt idx="0">
                  <c:v>564</c:v>
                </c:pt>
                <c:pt idx="1">
                  <c:v>492</c:v>
                </c:pt>
                <c:pt idx="2">
                  <c:v>728</c:v>
                </c:pt>
                <c:pt idx="3">
                  <c:v>775</c:v>
                </c:pt>
                <c:pt idx="4">
                  <c:v>661</c:v>
                </c:pt>
                <c:pt idx="5">
                  <c:v>710</c:v>
                </c:pt>
                <c:pt idx="6">
                  <c:v>647</c:v>
                </c:pt>
              </c:numCache>
            </c:numRef>
          </c:val>
          <c:smooth val="0"/>
        </c:ser>
        <c:dLbls>
          <c:showLegendKey val="0"/>
          <c:showVal val="0"/>
          <c:showCatName val="0"/>
          <c:showSerName val="0"/>
          <c:showPercent val="0"/>
          <c:showBubbleSize val="0"/>
        </c:dLbls>
        <c:marker val="1"/>
        <c:smooth val="0"/>
        <c:axId val="389105024"/>
        <c:axId val="389102280"/>
      </c:lineChart>
      <c:catAx>
        <c:axId val="389105024"/>
        <c:scaling>
          <c:orientation val="minMax"/>
        </c:scaling>
        <c:delete val="0"/>
        <c:axPos val="b"/>
        <c:numFmt formatCode="General" sourceLinked="1"/>
        <c:majorTickMark val="out"/>
        <c:minorTickMark val="none"/>
        <c:tickLblPos val="nextTo"/>
        <c:crossAx val="389102280"/>
        <c:crosses val="autoZero"/>
        <c:auto val="1"/>
        <c:lblAlgn val="ctr"/>
        <c:lblOffset val="100"/>
        <c:noMultiLvlLbl val="0"/>
      </c:catAx>
      <c:valAx>
        <c:axId val="389102280"/>
        <c:scaling>
          <c:orientation val="minMax"/>
        </c:scaling>
        <c:delete val="0"/>
        <c:axPos val="l"/>
        <c:majorGridlines/>
        <c:numFmt formatCode="[$-10419]0" sourceLinked="1"/>
        <c:majorTickMark val="out"/>
        <c:minorTickMark val="none"/>
        <c:tickLblPos val="nextTo"/>
        <c:crossAx val="389105024"/>
        <c:crosses val="autoZero"/>
        <c:crossBetween val="between"/>
      </c:valAx>
    </c:plotArea>
    <c:legend>
      <c:legendPos val="r"/>
      <c:overlay val="0"/>
    </c:legend>
    <c:plotVisOnly val="1"/>
    <c:dispBlanksAs val="gap"/>
    <c:showDLblsOverMax val="0"/>
  </c:chart>
  <c:spPr>
    <a:ln>
      <a:solidFill>
        <a:schemeClr val="tx1">
          <a:alpha val="38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1"/>
          <c:order val="1"/>
          <c:tx>
            <c:strRef>
              <c:f>'[Raport%5FDJPT.xlsx]Tablica'!$Y$2706</c:f>
              <c:strCache>
                <c:ptCount val="1"/>
                <c:pt idx="0">
                  <c:v>      mężczyźni</c:v>
                </c:pt>
              </c:strCache>
            </c:strRef>
          </c:tx>
          <c:invertIfNegative val="0"/>
          <c:cat>
            <c:numRef>
              <c:f>'[Raport%5FDJPT.xlsx]Tablica'!$Z$2704:$AF$2704</c:f>
              <c:numCache>
                <c:formatCode>General</c:formatCode>
                <c:ptCount val="7"/>
                <c:pt idx="0">
                  <c:v>2006</c:v>
                </c:pt>
                <c:pt idx="1">
                  <c:v>2008</c:v>
                </c:pt>
                <c:pt idx="2">
                  <c:v>2010</c:v>
                </c:pt>
                <c:pt idx="3">
                  <c:v>2012</c:v>
                </c:pt>
                <c:pt idx="4">
                  <c:v>2014</c:v>
                </c:pt>
                <c:pt idx="5">
                  <c:v>2015</c:v>
                </c:pt>
                <c:pt idx="6">
                  <c:v>2016</c:v>
                </c:pt>
              </c:numCache>
            </c:numRef>
          </c:cat>
          <c:val>
            <c:numRef>
              <c:f>'[Raport%5FDJPT.xlsx]Tablica'!$Z$2706:$AF$2706</c:f>
              <c:numCache>
                <c:formatCode>[$-10419]0</c:formatCode>
                <c:ptCount val="7"/>
                <c:pt idx="0">
                  <c:v>851</c:v>
                </c:pt>
                <c:pt idx="1">
                  <c:v>1141</c:v>
                </c:pt>
                <c:pt idx="2">
                  <c:v>887</c:v>
                </c:pt>
                <c:pt idx="3">
                  <c:v>885</c:v>
                </c:pt>
                <c:pt idx="4">
                  <c:v>746</c:v>
                </c:pt>
                <c:pt idx="5">
                  <c:v>327</c:v>
                </c:pt>
                <c:pt idx="6">
                  <c:v>329</c:v>
                </c:pt>
              </c:numCache>
            </c:numRef>
          </c:val>
        </c:ser>
        <c:ser>
          <c:idx val="2"/>
          <c:order val="2"/>
          <c:tx>
            <c:strRef>
              <c:f>'[Raport%5FDJPT.xlsx]Tablica'!$Y$2707</c:f>
              <c:strCache>
                <c:ptCount val="1"/>
                <c:pt idx="0">
                  <c:v>      kobiety</c:v>
                </c:pt>
              </c:strCache>
            </c:strRef>
          </c:tx>
          <c:invertIfNegative val="0"/>
          <c:cat>
            <c:numRef>
              <c:f>'[Raport%5FDJPT.xlsx]Tablica'!$Z$2704:$AF$2704</c:f>
              <c:numCache>
                <c:formatCode>General</c:formatCode>
                <c:ptCount val="7"/>
                <c:pt idx="0">
                  <c:v>2006</c:v>
                </c:pt>
                <c:pt idx="1">
                  <c:v>2008</c:v>
                </c:pt>
                <c:pt idx="2">
                  <c:v>2010</c:v>
                </c:pt>
                <c:pt idx="3">
                  <c:v>2012</c:v>
                </c:pt>
                <c:pt idx="4">
                  <c:v>2014</c:v>
                </c:pt>
                <c:pt idx="5">
                  <c:v>2015</c:v>
                </c:pt>
                <c:pt idx="6">
                  <c:v>2016</c:v>
                </c:pt>
              </c:numCache>
            </c:numRef>
          </c:cat>
          <c:val>
            <c:numRef>
              <c:f>'[Raport%5FDJPT.xlsx]Tablica'!$Z$2707:$AF$2707</c:f>
              <c:numCache>
                <c:formatCode>[$-10419]0</c:formatCode>
                <c:ptCount val="7"/>
                <c:pt idx="0">
                  <c:v>308</c:v>
                </c:pt>
                <c:pt idx="1">
                  <c:v>300</c:v>
                </c:pt>
                <c:pt idx="2">
                  <c:v>320</c:v>
                </c:pt>
                <c:pt idx="3">
                  <c:v>313</c:v>
                </c:pt>
                <c:pt idx="4">
                  <c:v>289</c:v>
                </c:pt>
                <c:pt idx="5">
                  <c:v>232</c:v>
                </c:pt>
                <c:pt idx="6">
                  <c:v>242</c:v>
                </c:pt>
              </c:numCache>
            </c:numRef>
          </c:val>
        </c:ser>
        <c:dLbls>
          <c:showLegendKey val="0"/>
          <c:showVal val="0"/>
          <c:showCatName val="0"/>
          <c:showSerName val="0"/>
          <c:showPercent val="0"/>
          <c:showBubbleSize val="0"/>
        </c:dLbls>
        <c:gapWidth val="150"/>
        <c:overlap val="100"/>
        <c:axId val="389103456"/>
        <c:axId val="389102672"/>
      </c:barChart>
      <c:lineChart>
        <c:grouping val="standard"/>
        <c:varyColors val="0"/>
        <c:ser>
          <c:idx val="0"/>
          <c:order val="0"/>
          <c:tx>
            <c:strRef>
              <c:f>'[Raport%5FDJPT.xlsx]Tablica'!$Y$2705</c:f>
              <c:strCache>
                <c:ptCount val="1"/>
                <c:pt idx="0">
                  <c:v>      ogółem</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'[Raport%5FDJPT.xlsx]Tablica'!$Z$2704:$AF$2704</c:f>
              <c:numCache>
                <c:formatCode>General</c:formatCode>
                <c:ptCount val="7"/>
                <c:pt idx="0">
                  <c:v>2006</c:v>
                </c:pt>
                <c:pt idx="1">
                  <c:v>2008</c:v>
                </c:pt>
                <c:pt idx="2">
                  <c:v>2010</c:v>
                </c:pt>
                <c:pt idx="3">
                  <c:v>2012</c:v>
                </c:pt>
                <c:pt idx="4">
                  <c:v>2014</c:v>
                </c:pt>
                <c:pt idx="5">
                  <c:v>2015</c:v>
                </c:pt>
                <c:pt idx="6">
                  <c:v>2016</c:v>
                </c:pt>
              </c:numCache>
            </c:numRef>
          </c:cat>
          <c:val>
            <c:numRef>
              <c:f>'[Raport%5FDJPT.xlsx]Tablica'!$Z$2705:$AF$2705</c:f>
              <c:numCache>
                <c:formatCode>[$-10419]0</c:formatCode>
                <c:ptCount val="7"/>
                <c:pt idx="0">
                  <c:v>1159</c:v>
                </c:pt>
                <c:pt idx="1">
                  <c:v>1441</c:v>
                </c:pt>
                <c:pt idx="2">
                  <c:v>1207</c:v>
                </c:pt>
                <c:pt idx="3">
                  <c:v>1198</c:v>
                </c:pt>
                <c:pt idx="4">
                  <c:v>1035</c:v>
                </c:pt>
                <c:pt idx="5">
                  <c:v>559</c:v>
                </c:pt>
                <c:pt idx="6">
                  <c:v>571</c:v>
                </c:pt>
              </c:numCache>
            </c:numRef>
          </c:val>
          <c:smooth val="0"/>
        </c:ser>
        <c:dLbls>
          <c:showLegendKey val="0"/>
          <c:showVal val="0"/>
          <c:showCatName val="0"/>
          <c:showSerName val="0"/>
          <c:showPercent val="0"/>
          <c:showBubbleSize val="0"/>
        </c:dLbls>
        <c:marker val="1"/>
        <c:smooth val="0"/>
        <c:axId val="389103456"/>
        <c:axId val="389102672"/>
      </c:lineChart>
      <c:catAx>
        <c:axId val="389103456"/>
        <c:scaling>
          <c:orientation val="minMax"/>
        </c:scaling>
        <c:delete val="0"/>
        <c:axPos val="b"/>
        <c:numFmt formatCode="General" sourceLinked="1"/>
        <c:majorTickMark val="out"/>
        <c:minorTickMark val="none"/>
        <c:tickLblPos val="nextTo"/>
        <c:crossAx val="389102672"/>
        <c:crosses val="autoZero"/>
        <c:auto val="1"/>
        <c:lblAlgn val="ctr"/>
        <c:lblOffset val="100"/>
        <c:noMultiLvlLbl val="0"/>
      </c:catAx>
      <c:valAx>
        <c:axId val="389102672"/>
        <c:scaling>
          <c:orientation val="minMax"/>
        </c:scaling>
        <c:delete val="0"/>
        <c:axPos val="l"/>
        <c:majorGridlines/>
        <c:numFmt formatCode="[$-10419]0" sourceLinked="1"/>
        <c:majorTickMark val="out"/>
        <c:minorTickMark val="none"/>
        <c:tickLblPos val="nextTo"/>
        <c:crossAx val="38910345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1"/>
          <c:order val="1"/>
          <c:tx>
            <c:strRef>
              <c:f>'[Raport%5FDJPT.xlsx]Tablica'!$Y$1626</c:f>
              <c:strCache>
                <c:ptCount val="1"/>
                <c:pt idx="0">
                  <c:v>publiczny</c:v>
                </c:pt>
              </c:strCache>
            </c:strRef>
          </c:tx>
          <c:invertIfNegative val="0"/>
          <c:cat>
            <c:numRef>
              <c:f>'[Raport%5FDJPT.xlsx]Tablica'!$Z$1624:$AF$1624</c:f>
              <c:numCache>
                <c:formatCode>General</c:formatCode>
                <c:ptCount val="7"/>
                <c:pt idx="0">
                  <c:v>2006</c:v>
                </c:pt>
                <c:pt idx="1">
                  <c:v>2008</c:v>
                </c:pt>
                <c:pt idx="2">
                  <c:v>2010</c:v>
                </c:pt>
                <c:pt idx="3">
                  <c:v>2012</c:v>
                </c:pt>
                <c:pt idx="4">
                  <c:v>2014</c:v>
                </c:pt>
                <c:pt idx="5">
                  <c:v>2015</c:v>
                </c:pt>
                <c:pt idx="6">
                  <c:v>2016</c:v>
                </c:pt>
              </c:numCache>
            </c:numRef>
          </c:cat>
          <c:val>
            <c:numRef>
              <c:f>'[Raport%5FDJPT.xlsx]Tablica'!$Z$1626:$AF$1626</c:f>
              <c:numCache>
                <c:formatCode>[$-10419]0</c:formatCode>
                <c:ptCount val="7"/>
                <c:pt idx="0">
                  <c:v>20</c:v>
                </c:pt>
                <c:pt idx="1">
                  <c:v>21</c:v>
                </c:pt>
                <c:pt idx="2">
                  <c:v>21</c:v>
                </c:pt>
                <c:pt idx="3">
                  <c:v>21</c:v>
                </c:pt>
                <c:pt idx="4">
                  <c:v>20</c:v>
                </c:pt>
                <c:pt idx="5">
                  <c:v>20</c:v>
                </c:pt>
                <c:pt idx="6">
                  <c:v>21</c:v>
                </c:pt>
              </c:numCache>
            </c:numRef>
          </c:val>
        </c:ser>
        <c:ser>
          <c:idx val="2"/>
          <c:order val="2"/>
          <c:tx>
            <c:strRef>
              <c:f>'[Raport%5FDJPT.xlsx]Tablica'!$Y$1627</c:f>
              <c:strCache>
                <c:ptCount val="1"/>
                <c:pt idx="0">
                  <c:v>prywatny - OFPDzG</c:v>
                </c:pt>
              </c:strCache>
            </c:strRef>
          </c:tx>
          <c:invertIfNegative val="0"/>
          <c:cat>
            <c:numRef>
              <c:f>'[Raport%5FDJPT.xlsx]Tablica'!$Z$1624:$AF$1624</c:f>
              <c:numCache>
                <c:formatCode>General</c:formatCode>
                <c:ptCount val="7"/>
                <c:pt idx="0">
                  <c:v>2006</c:v>
                </c:pt>
                <c:pt idx="1">
                  <c:v>2008</c:v>
                </c:pt>
                <c:pt idx="2">
                  <c:v>2010</c:v>
                </c:pt>
                <c:pt idx="3">
                  <c:v>2012</c:v>
                </c:pt>
                <c:pt idx="4">
                  <c:v>2014</c:v>
                </c:pt>
                <c:pt idx="5">
                  <c:v>2015</c:v>
                </c:pt>
                <c:pt idx="6">
                  <c:v>2016</c:v>
                </c:pt>
              </c:numCache>
            </c:numRef>
          </c:cat>
          <c:val>
            <c:numRef>
              <c:f>'[Raport%5FDJPT.xlsx]Tablica'!$Z$1627:$AF$1627</c:f>
              <c:numCache>
                <c:formatCode>[$-10419]0</c:formatCode>
                <c:ptCount val="7"/>
                <c:pt idx="0">
                  <c:v>212</c:v>
                </c:pt>
                <c:pt idx="1">
                  <c:v>220</c:v>
                </c:pt>
                <c:pt idx="2">
                  <c:v>260</c:v>
                </c:pt>
                <c:pt idx="3">
                  <c:v>251</c:v>
                </c:pt>
                <c:pt idx="4">
                  <c:v>294</c:v>
                </c:pt>
                <c:pt idx="5">
                  <c:v>325</c:v>
                </c:pt>
                <c:pt idx="6">
                  <c:v>347</c:v>
                </c:pt>
              </c:numCache>
            </c:numRef>
          </c:val>
        </c:ser>
        <c:ser>
          <c:idx val="3"/>
          <c:order val="3"/>
          <c:tx>
            <c:strRef>
              <c:f>'[Raport%5FDJPT.xlsx]Tablica'!$Y$1628</c:f>
              <c:strCache>
                <c:ptCount val="1"/>
                <c:pt idx="0">
                  <c:v>prywatny - spółki handlowe</c:v>
                </c:pt>
              </c:strCache>
            </c:strRef>
          </c:tx>
          <c:invertIfNegative val="0"/>
          <c:cat>
            <c:numRef>
              <c:f>'[Raport%5FDJPT.xlsx]Tablica'!$Z$1624:$AF$1624</c:f>
              <c:numCache>
                <c:formatCode>General</c:formatCode>
                <c:ptCount val="7"/>
                <c:pt idx="0">
                  <c:v>2006</c:v>
                </c:pt>
                <c:pt idx="1">
                  <c:v>2008</c:v>
                </c:pt>
                <c:pt idx="2">
                  <c:v>2010</c:v>
                </c:pt>
                <c:pt idx="3">
                  <c:v>2012</c:v>
                </c:pt>
                <c:pt idx="4">
                  <c:v>2014</c:v>
                </c:pt>
                <c:pt idx="5">
                  <c:v>2015</c:v>
                </c:pt>
                <c:pt idx="6">
                  <c:v>2016</c:v>
                </c:pt>
              </c:numCache>
            </c:numRef>
          </c:cat>
          <c:val>
            <c:numRef>
              <c:f>'[Raport%5FDJPT.xlsx]Tablica'!$Z$1628:$AF$1628</c:f>
              <c:numCache>
                <c:formatCode>[$-10419]0</c:formatCode>
                <c:ptCount val="7"/>
                <c:pt idx="0">
                  <c:v>4</c:v>
                </c:pt>
                <c:pt idx="1">
                  <c:v>6</c:v>
                </c:pt>
                <c:pt idx="2">
                  <c:v>10</c:v>
                </c:pt>
                <c:pt idx="3">
                  <c:v>8</c:v>
                </c:pt>
                <c:pt idx="4">
                  <c:v>10</c:v>
                </c:pt>
                <c:pt idx="5">
                  <c:v>10</c:v>
                </c:pt>
                <c:pt idx="6">
                  <c:v>14</c:v>
                </c:pt>
              </c:numCache>
            </c:numRef>
          </c:val>
        </c:ser>
        <c:ser>
          <c:idx val="4"/>
          <c:order val="4"/>
          <c:tx>
            <c:strRef>
              <c:f>'[Raport%5FDJPT.xlsx]Tablica'!$Y$1629</c:f>
              <c:strCache>
                <c:ptCount val="1"/>
                <c:pt idx="0">
                  <c:v>prywatny - spółki handlowe z udziałem KZ</c:v>
                </c:pt>
              </c:strCache>
            </c:strRef>
          </c:tx>
          <c:invertIfNegative val="0"/>
          <c:cat>
            <c:numRef>
              <c:f>'[Raport%5FDJPT.xlsx]Tablica'!$Z$1624:$AF$1624</c:f>
              <c:numCache>
                <c:formatCode>General</c:formatCode>
                <c:ptCount val="7"/>
                <c:pt idx="0">
                  <c:v>2006</c:v>
                </c:pt>
                <c:pt idx="1">
                  <c:v>2008</c:v>
                </c:pt>
                <c:pt idx="2">
                  <c:v>2010</c:v>
                </c:pt>
                <c:pt idx="3">
                  <c:v>2012</c:v>
                </c:pt>
                <c:pt idx="4">
                  <c:v>2014</c:v>
                </c:pt>
                <c:pt idx="5">
                  <c:v>2015</c:v>
                </c:pt>
                <c:pt idx="6">
                  <c:v>2016</c:v>
                </c:pt>
              </c:numCache>
            </c:numRef>
          </c:cat>
          <c:val>
            <c:numRef>
              <c:f>'[Raport%5FDJPT.xlsx]Tablica'!$Z$1629:$AF$1629</c:f>
              <c:numCache>
                <c:formatCode>[$-10419]0</c:formatCode>
                <c:ptCount val="7"/>
                <c:pt idx="0">
                  <c:v>0</c:v>
                </c:pt>
                <c:pt idx="1">
                  <c:v>0</c:v>
                </c:pt>
                <c:pt idx="2">
                  <c:v>1</c:v>
                </c:pt>
                <c:pt idx="3">
                  <c:v>1</c:v>
                </c:pt>
                <c:pt idx="4">
                  <c:v>3</c:v>
                </c:pt>
                <c:pt idx="5">
                  <c:v>3</c:v>
                </c:pt>
                <c:pt idx="6">
                  <c:v>3</c:v>
                </c:pt>
              </c:numCache>
            </c:numRef>
          </c:val>
        </c:ser>
        <c:ser>
          <c:idx val="5"/>
          <c:order val="5"/>
          <c:tx>
            <c:strRef>
              <c:f>'[Raport%5FDJPT.xlsx]Tablica'!$Y$1630</c:f>
              <c:strCache>
                <c:ptCount val="1"/>
                <c:pt idx="0">
                  <c:v>prywatny - spółdzielnie, stowarzyszenia, organizacje</c:v>
                </c:pt>
              </c:strCache>
            </c:strRef>
          </c:tx>
          <c:invertIfNegative val="0"/>
          <c:cat>
            <c:numRef>
              <c:f>'[Raport%5FDJPT.xlsx]Tablica'!$Z$1624:$AF$1624</c:f>
              <c:numCache>
                <c:formatCode>General</c:formatCode>
                <c:ptCount val="7"/>
                <c:pt idx="0">
                  <c:v>2006</c:v>
                </c:pt>
                <c:pt idx="1">
                  <c:v>2008</c:v>
                </c:pt>
                <c:pt idx="2">
                  <c:v>2010</c:v>
                </c:pt>
                <c:pt idx="3">
                  <c:v>2012</c:v>
                </c:pt>
                <c:pt idx="4">
                  <c:v>2014</c:v>
                </c:pt>
                <c:pt idx="5">
                  <c:v>2015</c:v>
                </c:pt>
                <c:pt idx="6">
                  <c:v>2016</c:v>
                </c:pt>
              </c:numCache>
            </c:numRef>
          </c:cat>
          <c:val>
            <c:numRef>
              <c:f>'[Raport%5FDJPT.xlsx]Tablica'!$Z$1630:$AF$1630</c:f>
              <c:numCache>
                <c:formatCode>[$-10419]0</c:formatCode>
                <c:ptCount val="7"/>
                <c:pt idx="0">
                  <c:v>18</c:v>
                </c:pt>
                <c:pt idx="1">
                  <c:v>18</c:v>
                </c:pt>
                <c:pt idx="2">
                  <c:v>20</c:v>
                </c:pt>
                <c:pt idx="3">
                  <c:v>21</c:v>
                </c:pt>
                <c:pt idx="4">
                  <c:v>22</c:v>
                </c:pt>
                <c:pt idx="5">
                  <c:v>23</c:v>
                </c:pt>
                <c:pt idx="6">
                  <c:v>23</c:v>
                </c:pt>
              </c:numCache>
            </c:numRef>
          </c:val>
        </c:ser>
        <c:dLbls>
          <c:showLegendKey val="0"/>
          <c:showVal val="0"/>
          <c:showCatName val="0"/>
          <c:showSerName val="0"/>
          <c:showPercent val="0"/>
          <c:showBubbleSize val="0"/>
        </c:dLbls>
        <c:gapWidth val="150"/>
        <c:overlap val="100"/>
        <c:axId val="389103848"/>
        <c:axId val="389099928"/>
      </c:barChart>
      <c:lineChart>
        <c:grouping val="standard"/>
        <c:varyColors val="0"/>
        <c:ser>
          <c:idx val="0"/>
          <c:order val="0"/>
          <c:tx>
            <c:strRef>
              <c:f>'[Raport%5FDJPT.xlsx]Tablica'!$Y$1625</c:f>
              <c:strCache>
                <c:ptCount val="1"/>
                <c:pt idx="0">
                  <c:v>ogółem</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'[Raport%5FDJPT.xlsx]Tablica'!$Z$1624:$AF$1624</c:f>
              <c:numCache>
                <c:formatCode>General</c:formatCode>
                <c:ptCount val="7"/>
                <c:pt idx="0">
                  <c:v>2006</c:v>
                </c:pt>
                <c:pt idx="1">
                  <c:v>2008</c:v>
                </c:pt>
                <c:pt idx="2">
                  <c:v>2010</c:v>
                </c:pt>
                <c:pt idx="3">
                  <c:v>2012</c:v>
                </c:pt>
                <c:pt idx="4">
                  <c:v>2014</c:v>
                </c:pt>
                <c:pt idx="5">
                  <c:v>2015</c:v>
                </c:pt>
                <c:pt idx="6">
                  <c:v>2016</c:v>
                </c:pt>
              </c:numCache>
            </c:numRef>
          </c:cat>
          <c:val>
            <c:numRef>
              <c:f>'[Raport%5FDJPT.xlsx]Tablica'!$Z$1625:$AF$1625</c:f>
              <c:numCache>
                <c:formatCode>[$-10419]0</c:formatCode>
                <c:ptCount val="7"/>
                <c:pt idx="0">
                  <c:v>280</c:v>
                </c:pt>
                <c:pt idx="1">
                  <c:v>287</c:v>
                </c:pt>
                <c:pt idx="2">
                  <c:v>333</c:v>
                </c:pt>
                <c:pt idx="3">
                  <c:v>325</c:v>
                </c:pt>
                <c:pt idx="4">
                  <c:v>370</c:v>
                </c:pt>
                <c:pt idx="5">
                  <c:v>408</c:v>
                </c:pt>
                <c:pt idx="6">
                  <c:v>433</c:v>
                </c:pt>
              </c:numCache>
            </c:numRef>
          </c:val>
          <c:smooth val="0"/>
        </c:ser>
        <c:dLbls>
          <c:showLegendKey val="0"/>
          <c:showVal val="0"/>
          <c:showCatName val="0"/>
          <c:showSerName val="0"/>
          <c:showPercent val="0"/>
          <c:showBubbleSize val="0"/>
        </c:dLbls>
        <c:marker val="1"/>
        <c:smooth val="0"/>
        <c:axId val="389103848"/>
        <c:axId val="389099928"/>
      </c:lineChart>
      <c:catAx>
        <c:axId val="389103848"/>
        <c:scaling>
          <c:orientation val="minMax"/>
        </c:scaling>
        <c:delete val="0"/>
        <c:axPos val="b"/>
        <c:numFmt formatCode="General" sourceLinked="1"/>
        <c:majorTickMark val="out"/>
        <c:minorTickMark val="none"/>
        <c:tickLblPos val="nextTo"/>
        <c:crossAx val="389099928"/>
        <c:crosses val="autoZero"/>
        <c:auto val="1"/>
        <c:lblAlgn val="ctr"/>
        <c:lblOffset val="100"/>
        <c:noMultiLvlLbl val="0"/>
      </c:catAx>
      <c:valAx>
        <c:axId val="389099928"/>
        <c:scaling>
          <c:orientation val="minMax"/>
        </c:scaling>
        <c:delete val="0"/>
        <c:axPos val="l"/>
        <c:majorGridlines/>
        <c:numFmt formatCode="[$-10419]0" sourceLinked="1"/>
        <c:majorTickMark val="out"/>
        <c:minorTickMark val="none"/>
        <c:tickLblPos val="nextTo"/>
        <c:crossAx val="38910384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1"/>
          <c:order val="1"/>
          <c:tx>
            <c:strRef>
              <c:f>Tablica!$S$5255</c:f>
              <c:strCache>
                <c:ptCount val="1"/>
                <c:pt idx="0">
                  <c:v>      poniżej kryterium dochodowego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Tablica!$T$5253:$W$5253</c:f>
              <c:strCache>
                <c:ptCount val="4"/>
                <c:pt idx="0">
                  <c:v>2013</c:v>
                </c:pt>
                <c:pt idx="1">
                  <c:v>2014</c:v>
                </c:pt>
                <c:pt idx="2">
                  <c:v>2015</c:v>
                </c:pt>
                <c:pt idx="3">
                  <c:v>2016</c:v>
                </c:pt>
              </c:strCache>
            </c:strRef>
          </c:cat>
          <c:val>
            <c:numRef>
              <c:f>Tablica!$T$5255:$W$5255</c:f>
              <c:numCache>
                <c:formatCode>[$-10419]0</c:formatCode>
                <c:ptCount val="4"/>
                <c:pt idx="0">
                  <c:v>191</c:v>
                </c:pt>
                <c:pt idx="1">
                  <c:v>201</c:v>
                </c:pt>
                <c:pt idx="2">
                  <c:v>218</c:v>
                </c:pt>
                <c:pt idx="3">
                  <c:v>205</c:v>
                </c:pt>
              </c:numCache>
            </c:numRef>
          </c:val>
        </c:ser>
        <c:ser>
          <c:idx val="2"/>
          <c:order val="2"/>
          <c:tx>
            <c:strRef>
              <c:f>Tablica!$S$5256</c:f>
              <c:strCache>
                <c:ptCount val="1"/>
                <c:pt idx="0">
                  <c:v>      powyżej kryterium dochodowego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Tablica!$T$5253:$W$5253</c:f>
              <c:strCache>
                <c:ptCount val="4"/>
                <c:pt idx="0">
                  <c:v>2013</c:v>
                </c:pt>
                <c:pt idx="1">
                  <c:v>2014</c:v>
                </c:pt>
                <c:pt idx="2">
                  <c:v>2015</c:v>
                </c:pt>
                <c:pt idx="3">
                  <c:v>2016</c:v>
                </c:pt>
              </c:strCache>
            </c:strRef>
          </c:cat>
          <c:val>
            <c:numRef>
              <c:f>Tablica!$T$5256:$W$5256</c:f>
              <c:numCache>
                <c:formatCode>[$-10419]0</c:formatCode>
                <c:ptCount val="4"/>
                <c:pt idx="0">
                  <c:v>105</c:v>
                </c:pt>
                <c:pt idx="1">
                  <c:v>116</c:v>
                </c:pt>
                <c:pt idx="2">
                  <c:v>93</c:v>
                </c:pt>
                <c:pt idx="3">
                  <c:v>104</c:v>
                </c:pt>
              </c:numCache>
            </c:numRef>
          </c:val>
        </c:ser>
        <c:dLbls>
          <c:showLegendKey val="0"/>
          <c:showVal val="0"/>
          <c:showCatName val="0"/>
          <c:showSerName val="0"/>
          <c:showPercent val="0"/>
          <c:showBubbleSize val="0"/>
        </c:dLbls>
        <c:gapWidth val="150"/>
        <c:overlap val="100"/>
        <c:axId val="425553848"/>
        <c:axId val="425551888"/>
      </c:barChart>
      <c:lineChart>
        <c:grouping val="standard"/>
        <c:varyColors val="0"/>
        <c:ser>
          <c:idx val="0"/>
          <c:order val="0"/>
          <c:tx>
            <c:strRef>
              <c:f>Tablica!$S$5254</c:f>
              <c:strCache>
                <c:ptCount val="1"/>
                <c:pt idx="0">
                  <c:v>      ogółem</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Tablica!$T$5253:$W$5253</c:f>
              <c:strCache>
                <c:ptCount val="4"/>
                <c:pt idx="0">
                  <c:v>2013</c:v>
                </c:pt>
                <c:pt idx="1">
                  <c:v>2014</c:v>
                </c:pt>
                <c:pt idx="2">
                  <c:v>2015</c:v>
                </c:pt>
                <c:pt idx="3">
                  <c:v>2016</c:v>
                </c:pt>
              </c:strCache>
            </c:strRef>
          </c:cat>
          <c:val>
            <c:numRef>
              <c:f>Tablica!$T$5254:$W$5254</c:f>
              <c:numCache>
                <c:formatCode>[$-10419]0</c:formatCode>
                <c:ptCount val="4"/>
                <c:pt idx="0">
                  <c:v>296</c:v>
                </c:pt>
                <c:pt idx="1">
                  <c:v>317</c:v>
                </c:pt>
                <c:pt idx="2">
                  <c:v>311</c:v>
                </c:pt>
                <c:pt idx="3">
                  <c:v>309</c:v>
                </c:pt>
              </c:numCache>
            </c:numRef>
          </c:val>
          <c:smooth val="0"/>
        </c:ser>
        <c:dLbls>
          <c:showLegendKey val="0"/>
          <c:showVal val="0"/>
          <c:showCatName val="0"/>
          <c:showSerName val="0"/>
          <c:showPercent val="0"/>
          <c:showBubbleSize val="0"/>
        </c:dLbls>
        <c:marker val="1"/>
        <c:smooth val="0"/>
        <c:axId val="425553848"/>
        <c:axId val="425551888"/>
      </c:lineChart>
      <c:catAx>
        <c:axId val="425553848"/>
        <c:scaling>
          <c:orientation val="minMax"/>
        </c:scaling>
        <c:delete val="0"/>
        <c:axPos val="b"/>
        <c:numFmt formatCode="General" sourceLinked="0"/>
        <c:majorTickMark val="out"/>
        <c:minorTickMark val="none"/>
        <c:tickLblPos val="nextTo"/>
        <c:crossAx val="425551888"/>
        <c:crosses val="autoZero"/>
        <c:auto val="1"/>
        <c:lblAlgn val="ctr"/>
        <c:lblOffset val="100"/>
        <c:noMultiLvlLbl val="0"/>
      </c:catAx>
      <c:valAx>
        <c:axId val="425551888"/>
        <c:scaling>
          <c:orientation val="minMax"/>
        </c:scaling>
        <c:delete val="0"/>
        <c:axPos val="l"/>
        <c:majorGridlines/>
        <c:numFmt formatCode="[$-10419]0" sourceLinked="1"/>
        <c:majorTickMark val="out"/>
        <c:minorTickMark val="none"/>
        <c:tickLblPos val="nextTo"/>
        <c:crossAx val="425553848"/>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1"/>
          <c:order val="1"/>
          <c:tx>
            <c:strRef>
              <c:f>Tablica!$S$5263</c:f>
              <c:strCache>
                <c:ptCount val="1"/>
                <c:pt idx="0">
                  <c:v>      poniżej kryterium dochodowego</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Tablica!$T$5261:$W$5261</c:f>
              <c:strCache>
                <c:ptCount val="4"/>
                <c:pt idx="0">
                  <c:v>2013</c:v>
                </c:pt>
                <c:pt idx="1">
                  <c:v>2014</c:v>
                </c:pt>
                <c:pt idx="2">
                  <c:v>2015</c:v>
                </c:pt>
                <c:pt idx="3">
                  <c:v>2016</c:v>
                </c:pt>
              </c:strCache>
            </c:strRef>
          </c:cat>
          <c:val>
            <c:numRef>
              <c:f>Tablica!$T$5263:$W$5263</c:f>
              <c:numCache>
                <c:formatCode>[$-10419]0</c:formatCode>
                <c:ptCount val="4"/>
                <c:pt idx="0">
                  <c:v>767</c:v>
                </c:pt>
                <c:pt idx="1">
                  <c:v>751</c:v>
                </c:pt>
                <c:pt idx="2">
                  <c:v>796</c:v>
                </c:pt>
                <c:pt idx="3">
                  <c:v>692</c:v>
                </c:pt>
              </c:numCache>
            </c:numRef>
          </c:val>
        </c:ser>
        <c:ser>
          <c:idx val="2"/>
          <c:order val="2"/>
          <c:tx>
            <c:strRef>
              <c:f>Tablica!$S$5264</c:f>
              <c:strCache>
                <c:ptCount val="1"/>
                <c:pt idx="0">
                  <c:v>      powyżej kryterium dochodowego</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Tablica!$T$5261:$W$5261</c:f>
              <c:strCache>
                <c:ptCount val="4"/>
                <c:pt idx="0">
                  <c:v>2013</c:v>
                </c:pt>
                <c:pt idx="1">
                  <c:v>2014</c:v>
                </c:pt>
                <c:pt idx="2">
                  <c:v>2015</c:v>
                </c:pt>
                <c:pt idx="3">
                  <c:v>2016</c:v>
                </c:pt>
              </c:strCache>
            </c:strRef>
          </c:cat>
          <c:val>
            <c:numRef>
              <c:f>Tablica!$T$5264:$W$5264</c:f>
              <c:numCache>
                <c:formatCode>[$-10419]0</c:formatCode>
                <c:ptCount val="4"/>
                <c:pt idx="0">
                  <c:v>402</c:v>
                </c:pt>
                <c:pt idx="1">
                  <c:v>468</c:v>
                </c:pt>
                <c:pt idx="2">
                  <c:v>360</c:v>
                </c:pt>
                <c:pt idx="3">
                  <c:v>405</c:v>
                </c:pt>
              </c:numCache>
            </c:numRef>
          </c:val>
        </c:ser>
        <c:dLbls>
          <c:dLblPos val="ctr"/>
          <c:showLegendKey val="0"/>
          <c:showVal val="1"/>
          <c:showCatName val="0"/>
          <c:showSerName val="0"/>
          <c:showPercent val="0"/>
          <c:showBubbleSize val="0"/>
        </c:dLbls>
        <c:gapWidth val="150"/>
        <c:overlap val="100"/>
        <c:axId val="374812608"/>
        <c:axId val="374813000"/>
      </c:barChart>
      <c:lineChart>
        <c:grouping val="standard"/>
        <c:varyColors val="0"/>
        <c:ser>
          <c:idx val="0"/>
          <c:order val="0"/>
          <c:tx>
            <c:strRef>
              <c:f>Tablica!$S$5262</c:f>
              <c:strCache>
                <c:ptCount val="1"/>
                <c:pt idx="0">
                  <c:v>      ogółem</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Tablica!$T$5261:$W$5261</c:f>
              <c:strCache>
                <c:ptCount val="4"/>
                <c:pt idx="0">
                  <c:v>2013</c:v>
                </c:pt>
                <c:pt idx="1">
                  <c:v>2014</c:v>
                </c:pt>
                <c:pt idx="2">
                  <c:v>2015</c:v>
                </c:pt>
                <c:pt idx="3">
                  <c:v>2016</c:v>
                </c:pt>
              </c:strCache>
            </c:strRef>
          </c:cat>
          <c:val>
            <c:numRef>
              <c:f>Tablica!$T$5262:$W$5262</c:f>
              <c:numCache>
                <c:formatCode>[$-10419]0</c:formatCode>
                <c:ptCount val="4"/>
                <c:pt idx="0">
                  <c:v>1169</c:v>
                </c:pt>
                <c:pt idx="1">
                  <c:v>1219</c:v>
                </c:pt>
                <c:pt idx="2">
                  <c:v>1156</c:v>
                </c:pt>
                <c:pt idx="3">
                  <c:v>1097</c:v>
                </c:pt>
              </c:numCache>
            </c:numRef>
          </c:val>
          <c:smooth val="0"/>
        </c:ser>
        <c:dLbls>
          <c:dLblPos val="ctr"/>
          <c:showLegendKey val="0"/>
          <c:showVal val="1"/>
          <c:showCatName val="0"/>
          <c:showSerName val="0"/>
          <c:showPercent val="0"/>
          <c:showBubbleSize val="0"/>
        </c:dLbls>
        <c:marker val="1"/>
        <c:smooth val="0"/>
        <c:axId val="374812608"/>
        <c:axId val="374813000"/>
      </c:lineChart>
      <c:catAx>
        <c:axId val="374812608"/>
        <c:scaling>
          <c:orientation val="minMax"/>
        </c:scaling>
        <c:delete val="0"/>
        <c:axPos val="b"/>
        <c:numFmt formatCode="General" sourceLinked="0"/>
        <c:majorTickMark val="out"/>
        <c:minorTickMark val="none"/>
        <c:tickLblPos val="nextTo"/>
        <c:crossAx val="374813000"/>
        <c:crosses val="autoZero"/>
        <c:auto val="1"/>
        <c:lblAlgn val="ctr"/>
        <c:lblOffset val="100"/>
        <c:noMultiLvlLbl val="0"/>
      </c:catAx>
      <c:valAx>
        <c:axId val="374813000"/>
        <c:scaling>
          <c:orientation val="minMax"/>
        </c:scaling>
        <c:delete val="0"/>
        <c:axPos val="l"/>
        <c:majorGridlines/>
        <c:numFmt formatCode="[$-10419]0" sourceLinked="1"/>
        <c:majorTickMark val="out"/>
        <c:minorTickMark val="none"/>
        <c:tickLblPos val="nextTo"/>
        <c:crossAx val="374812608"/>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Tablica!$R$5289</c:f>
              <c:strCache>
                <c:ptCount val="1"/>
                <c:pt idx="0">
                  <c:v>      rodziny otrzymujące zasiłki rodzinne na dzieci</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Tablica!$S$5288:$V$5288</c:f>
              <c:numCache>
                <c:formatCode>General</c:formatCode>
                <c:ptCount val="4"/>
                <c:pt idx="0">
                  <c:v>2010</c:v>
                </c:pt>
                <c:pt idx="1">
                  <c:v>2014</c:v>
                </c:pt>
                <c:pt idx="2">
                  <c:v>2015</c:v>
                </c:pt>
                <c:pt idx="3">
                  <c:v>2016</c:v>
                </c:pt>
              </c:numCache>
            </c:numRef>
          </c:cat>
          <c:val>
            <c:numRef>
              <c:f>Tablica!$S$5289:$V$5289</c:f>
              <c:numCache>
                <c:formatCode>[$-10419]0</c:formatCode>
                <c:ptCount val="4"/>
                <c:pt idx="0">
                  <c:v>575</c:v>
                </c:pt>
                <c:pt idx="1">
                  <c:v>423</c:v>
                </c:pt>
                <c:pt idx="2">
                  <c:v>421</c:v>
                </c:pt>
                <c:pt idx="3">
                  <c:v>479</c:v>
                </c:pt>
              </c:numCache>
            </c:numRef>
          </c:val>
        </c:ser>
        <c:ser>
          <c:idx val="1"/>
          <c:order val="1"/>
          <c:tx>
            <c:strRef>
              <c:f>Tablica!$R$5290</c:f>
              <c:strCache>
                <c:ptCount val="1"/>
                <c:pt idx="0">
                  <c:v>      dzieci, na które rodzice otrzymują zasiłek rodzinny - ogółem</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Tablica!$S$5288:$V$5288</c:f>
              <c:numCache>
                <c:formatCode>General</c:formatCode>
                <c:ptCount val="4"/>
                <c:pt idx="0">
                  <c:v>2010</c:v>
                </c:pt>
                <c:pt idx="1">
                  <c:v>2014</c:v>
                </c:pt>
                <c:pt idx="2">
                  <c:v>2015</c:v>
                </c:pt>
                <c:pt idx="3">
                  <c:v>2016</c:v>
                </c:pt>
              </c:numCache>
            </c:numRef>
          </c:cat>
          <c:val>
            <c:numRef>
              <c:f>Tablica!$S$5290:$V$5290</c:f>
              <c:numCache>
                <c:formatCode>[$-10419]0</c:formatCode>
                <c:ptCount val="4"/>
                <c:pt idx="0">
                  <c:v>1240</c:v>
                </c:pt>
                <c:pt idx="1">
                  <c:v>915</c:v>
                </c:pt>
                <c:pt idx="2">
                  <c:v>917</c:v>
                </c:pt>
                <c:pt idx="3">
                  <c:v>1033</c:v>
                </c:pt>
              </c:numCache>
            </c:numRef>
          </c:val>
        </c:ser>
        <c:ser>
          <c:idx val="2"/>
          <c:order val="2"/>
          <c:tx>
            <c:strRef>
              <c:f>Tablica!$R$5291</c:f>
              <c:strCache>
                <c:ptCount val="1"/>
                <c:pt idx="0">
                  <c:v>      dzieci w wieku do lat 17, na które rodzice otrzymują zasiłek rodzinny</c:v>
                </c:pt>
              </c:strCache>
            </c:strRef>
          </c:tx>
          <c:invertIfNegative val="0"/>
          <c:dLbls>
            <c:spPr>
              <a:noFill/>
              <a:ln>
                <a:noFill/>
              </a:ln>
              <a:effectLst/>
            </c:spPr>
            <c:txPr>
              <a:bodyPr rot="-5400000" vert="horz"/>
              <a:lstStyle/>
              <a:p>
                <a:pPr>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Tablica!$S$5288:$V$5288</c:f>
              <c:numCache>
                <c:formatCode>General</c:formatCode>
                <c:ptCount val="4"/>
                <c:pt idx="0">
                  <c:v>2010</c:v>
                </c:pt>
                <c:pt idx="1">
                  <c:v>2014</c:v>
                </c:pt>
                <c:pt idx="2">
                  <c:v>2015</c:v>
                </c:pt>
                <c:pt idx="3">
                  <c:v>2016</c:v>
                </c:pt>
              </c:numCache>
            </c:numRef>
          </c:cat>
          <c:val>
            <c:numRef>
              <c:f>Tablica!$S$5291:$V$5291</c:f>
              <c:numCache>
                <c:formatCode>[$-10419]0</c:formatCode>
                <c:ptCount val="4"/>
                <c:pt idx="0">
                  <c:v>1125</c:v>
                </c:pt>
                <c:pt idx="1">
                  <c:v>839</c:v>
                </c:pt>
                <c:pt idx="2">
                  <c:v>835</c:v>
                </c:pt>
                <c:pt idx="3">
                  <c:v>940</c:v>
                </c:pt>
              </c:numCache>
            </c:numRef>
          </c:val>
        </c:ser>
        <c:dLbls>
          <c:dLblPos val="ctr"/>
          <c:showLegendKey val="0"/>
          <c:showVal val="1"/>
          <c:showCatName val="0"/>
          <c:showSerName val="0"/>
          <c:showPercent val="0"/>
          <c:showBubbleSize val="0"/>
        </c:dLbls>
        <c:gapWidth val="150"/>
        <c:axId val="383566152"/>
        <c:axId val="383566544"/>
      </c:barChart>
      <c:catAx>
        <c:axId val="383566152"/>
        <c:scaling>
          <c:orientation val="minMax"/>
        </c:scaling>
        <c:delete val="0"/>
        <c:axPos val="b"/>
        <c:numFmt formatCode="General" sourceLinked="1"/>
        <c:majorTickMark val="out"/>
        <c:minorTickMark val="none"/>
        <c:tickLblPos val="nextTo"/>
        <c:crossAx val="383566544"/>
        <c:crosses val="autoZero"/>
        <c:auto val="1"/>
        <c:lblAlgn val="ctr"/>
        <c:lblOffset val="100"/>
        <c:noMultiLvlLbl val="0"/>
      </c:catAx>
      <c:valAx>
        <c:axId val="383566544"/>
        <c:scaling>
          <c:orientation val="minMax"/>
        </c:scaling>
        <c:delete val="0"/>
        <c:axPos val="l"/>
        <c:majorGridlines/>
        <c:numFmt formatCode="[$-10419]0" sourceLinked="1"/>
        <c:majorTickMark val="out"/>
        <c:minorTickMark val="none"/>
        <c:tickLblPos val="nextTo"/>
        <c:crossAx val="383566152"/>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Tablica!$V$5300</c:f>
              <c:strCache>
                <c:ptCount val="1"/>
                <c:pt idx="0">
                  <c:v>Tryńcza</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Tablica!$W$5299:$Y$5299</c:f>
              <c:numCache>
                <c:formatCode>General</c:formatCode>
                <c:ptCount val="3"/>
                <c:pt idx="0">
                  <c:v>2014</c:v>
                </c:pt>
                <c:pt idx="1">
                  <c:v>2015</c:v>
                </c:pt>
                <c:pt idx="2">
                  <c:v>2016</c:v>
                </c:pt>
              </c:numCache>
            </c:numRef>
          </c:cat>
          <c:val>
            <c:numRef>
              <c:f>Tablica!$W$5300:$Y$5300</c:f>
              <c:numCache>
                <c:formatCode>0.0%</c:formatCode>
                <c:ptCount val="3"/>
                <c:pt idx="0">
                  <c:v>0.47199999999999998</c:v>
                </c:pt>
                <c:pt idx="1">
                  <c:v>0.47499999999999998</c:v>
                </c:pt>
                <c:pt idx="2">
                  <c:v>0.54900000000000004</c:v>
                </c:pt>
              </c:numCache>
            </c:numRef>
          </c:val>
        </c:ser>
        <c:ser>
          <c:idx val="1"/>
          <c:order val="1"/>
          <c:tx>
            <c:strRef>
              <c:f>Tablica!$V$5301</c:f>
              <c:strCache>
                <c:ptCount val="1"/>
                <c:pt idx="0">
                  <c:v>powiat przeworski</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Tablica!$W$5299:$Y$5299</c:f>
              <c:numCache>
                <c:formatCode>General</c:formatCode>
                <c:ptCount val="3"/>
                <c:pt idx="0">
                  <c:v>2014</c:v>
                </c:pt>
                <c:pt idx="1">
                  <c:v>2015</c:v>
                </c:pt>
                <c:pt idx="2">
                  <c:v>2016</c:v>
                </c:pt>
              </c:numCache>
            </c:numRef>
          </c:cat>
          <c:val>
            <c:numRef>
              <c:f>Tablica!$W$5301:$Y$5301</c:f>
              <c:numCache>
                <c:formatCode>0.0%</c:formatCode>
                <c:ptCount val="3"/>
                <c:pt idx="0">
                  <c:v>0.40799999999999997</c:v>
                </c:pt>
                <c:pt idx="1">
                  <c:v>0.39700000000000002</c:v>
                </c:pt>
                <c:pt idx="2">
                  <c:v>0.44600000000000001</c:v>
                </c:pt>
              </c:numCache>
            </c:numRef>
          </c:val>
        </c:ser>
        <c:ser>
          <c:idx val="2"/>
          <c:order val="2"/>
          <c:tx>
            <c:strRef>
              <c:f>Tablica!$V$5302</c:f>
              <c:strCache>
                <c:ptCount val="1"/>
                <c:pt idx="0">
                  <c:v>województwo podkarpackie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Tablica!$W$5299:$Y$5299</c:f>
              <c:numCache>
                <c:formatCode>General</c:formatCode>
                <c:ptCount val="3"/>
                <c:pt idx="0">
                  <c:v>2014</c:v>
                </c:pt>
                <c:pt idx="1">
                  <c:v>2015</c:v>
                </c:pt>
                <c:pt idx="2">
                  <c:v>2016</c:v>
                </c:pt>
              </c:numCache>
            </c:numRef>
          </c:cat>
          <c:val>
            <c:numRef>
              <c:f>Tablica!$W$5302:$Y$5302</c:f>
              <c:numCache>
                <c:formatCode>0.0%</c:formatCode>
                <c:ptCount val="3"/>
                <c:pt idx="0">
                  <c:v>0.36199999999999999</c:v>
                </c:pt>
                <c:pt idx="1">
                  <c:v>0.34699999999999998</c:v>
                </c:pt>
                <c:pt idx="2">
                  <c:v>0.379</c:v>
                </c:pt>
              </c:numCache>
            </c:numRef>
          </c:val>
        </c:ser>
        <c:dLbls>
          <c:dLblPos val="ctr"/>
          <c:showLegendKey val="0"/>
          <c:showVal val="1"/>
          <c:showCatName val="0"/>
          <c:showSerName val="0"/>
          <c:showPercent val="0"/>
          <c:showBubbleSize val="0"/>
        </c:dLbls>
        <c:gapWidth val="150"/>
        <c:axId val="383561840"/>
        <c:axId val="383563800"/>
      </c:barChart>
      <c:catAx>
        <c:axId val="383561840"/>
        <c:scaling>
          <c:orientation val="minMax"/>
        </c:scaling>
        <c:delete val="0"/>
        <c:axPos val="b"/>
        <c:numFmt formatCode="General" sourceLinked="1"/>
        <c:majorTickMark val="out"/>
        <c:minorTickMark val="none"/>
        <c:tickLblPos val="nextTo"/>
        <c:crossAx val="383563800"/>
        <c:crosses val="autoZero"/>
        <c:auto val="1"/>
        <c:lblAlgn val="ctr"/>
        <c:lblOffset val="100"/>
        <c:noMultiLvlLbl val="0"/>
      </c:catAx>
      <c:valAx>
        <c:axId val="383563800"/>
        <c:scaling>
          <c:orientation val="minMax"/>
        </c:scaling>
        <c:delete val="0"/>
        <c:axPos val="l"/>
        <c:majorGridlines/>
        <c:numFmt formatCode="0.0%" sourceLinked="1"/>
        <c:majorTickMark val="out"/>
        <c:minorTickMark val="none"/>
        <c:tickLblPos val="nextTo"/>
        <c:crossAx val="38356184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23D35-14C4-4318-9FB3-A3A87FD92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21634</Words>
  <Characters>129807</Characters>
  <Application>Microsoft Office Word</Application>
  <DocSecurity>0</DocSecurity>
  <Lines>1081</Lines>
  <Paragraphs>302</Paragraphs>
  <ScaleCrop>false</ScaleCrop>
  <HeadingPairs>
    <vt:vector size="2" baseType="variant">
      <vt:variant>
        <vt:lpstr>Tytuł</vt:lpstr>
      </vt:variant>
      <vt:variant>
        <vt:i4>1</vt:i4>
      </vt:variant>
    </vt:vector>
  </HeadingPairs>
  <TitlesOfParts>
    <vt:vector size="1" baseType="lpstr">
      <vt:lpstr>Szczegółowa diagnoza obszaru zdegradowanego i obszaru rewitalizacji</vt:lpstr>
    </vt:vector>
  </TitlesOfParts>
  <Company/>
  <LinksUpToDate>false</LinksUpToDate>
  <CharactersWithSpaces>151139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Szczegółowa diagnoza obszaru zdegradowanego i obszaru rewitalizacji</dc:title>
  <dc:creator>User</dc:creator>
  <cp:lastModifiedBy>Monika Klos</cp:lastModifiedBy>
  <cp:revision>2</cp:revision>
  <dcterms:created xsi:type="dcterms:W3CDTF">2017-10-24T12:34:00Z</dcterms:created>
  <dcterms:modified xsi:type="dcterms:W3CDTF">2017-10-24T12:34:00Z</dcterms:modified>
</cp:coreProperties>
</file>