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  <w:bookmarkStart w:id="0" w:name="_GoBack"/>
      <w:bookmarkEnd w:id="0"/>
    </w:p>
    <w:p w:rsidR="00AC1AA2" w:rsidRDefault="00EF0242">
      <w:pPr>
        <w:pStyle w:val="Normalny1"/>
        <w:spacing w:after="60" w:line="360" w:lineRule="auto"/>
        <w:jc w:val="right"/>
      </w:pPr>
      <w:r>
        <w:rPr>
          <w:rFonts w:ascii="Calibri" w:hAnsi="Calibri" w:cs="Calibri"/>
          <w:color w:val="000000"/>
          <w:sz w:val="22"/>
          <w:szCs w:val="22"/>
        </w:rPr>
        <w:t>Tryńcza, dnia 26.06.2020 r.</w:t>
      </w:r>
    </w:p>
    <w:p w:rsidR="00AC1AA2" w:rsidRDefault="00EF0242">
      <w:pPr>
        <w:pStyle w:val="Normalny1"/>
        <w:spacing w:after="60" w:line="360" w:lineRule="auto"/>
        <w:rPr>
          <w:color w:val="auto"/>
        </w:rPr>
      </w:pPr>
      <w:bookmarkStart w:id="1" w:name="__DdeLink__38690_3887344822"/>
      <w:r>
        <w:rPr>
          <w:rFonts w:ascii="Calibri" w:hAnsi="Calibri" w:cs="Calibri"/>
          <w:color w:val="000000"/>
          <w:sz w:val="22"/>
          <w:szCs w:val="22"/>
        </w:rPr>
        <w:t xml:space="preserve">ZNAK: </w:t>
      </w:r>
      <w:bookmarkEnd w:id="1"/>
      <w:r>
        <w:rPr>
          <w:rFonts w:ascii="Calibri" w:hAnsi="Calibri" w:cs="Calibri"/>
          <w:color w:val="000000"/>
          <w:sz w:val="22"/>
          <w:szCs w:val="22"/>
        </w:rPr>
        <w:t>UIB.271.10.2020</w:t>
      </w:r>
    </w:p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</w:p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</w:p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</w:p>
    <w:p w:rsidR="00AC1AA2" w:rsidRDefault="00EF0242">
      <w:pPr>
        <w:pStyle w:val="Normalny1"/>
        <w:spacing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WYKONAWCY BIORĄCY UDZIAŁ W POSTĘPOWANIU</w:t>
      </w:r>
    </w:p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</w:p>
    <w:p w:rsidR="00AC1AA2" w:rsidRDefault="00AC1AA2">
      <w:pPr>
        <w:jc w:val="both"/>
        <w:rPr>
          <w:rFonts w:ascii="Calibri" w:hAnsi="Calibri"/>
          <w:b/>
          <w:color w:val="2D2D2D"/>
          <w:sz w:val="22"/>
        </w:rPr>
      </w:pPr>
    </w:p>
    <w:p w:rsidR="00AC1AA2" w:rsidRDefault="00AC1AA2">
      <w:pPr>
        <w:spacing w:line="276" w:lineRule="auto"/>
        <w:jc w:val="both"/>
        <w:rPr>
          <w:rFonts w:ascii="Calibri" w:hAnsi="Calibri"/>
          <w:b/>
          <w:color w:val="2D2D2D"/>
          <w:sz w:val="22"/>
          <w:szCs w:val="22"/>
        </w:rPr>
      </w:pPr>
    </w:p>
    <w:p w:rsidR="00AC1AA2" w:rsidRDefault="00EF0242">
      <w:pPr>
        <w:spacing w:line="276" w:lineRule="auto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color w:val="2D2D2D"/>
          <w:sz w:val="21"/>
          <w:szCs w:val="21"/>
        </w:rPr>
        <w:t>Dotyczy:</w:t>
      </w:r>
      <w:r>
        <w:rPr>
          <w:rFonts w:ascii="Calibri" w:hAnsi="Calibri"/>
          <w:color w:val="2D2D2D"/>
          <w:sz w:val="21"/>
          <w:szCs w:val="21"/>
        </w:rPr>
        <w:t xml:space="preserve"> postępowania prowadzonego w trybie przetargu nieograniczonego na </w:t>
      </w:r>
      <w:r>
        <w:rPr>
          <w:rFonts w:ascii="Calibri" w:hAnsi="Calibri" w:cs="Calibri"/>
          <w:b/>
          <w:bCs/>
          <w:color w:val="2D2D2D"/>
          <w:kern w:val="0"/>
          <w:sz w:val="21"/>
          <w:szCs w:val="21"/>
        </w:rPr>
        <w:t xml:space="preserve">dostawę i montaż kolektorów słonecznych, paneli fotowoltaicznych, pomp ciepła oraz </w:t>
      </w:r>
      <w:r>
        <w:rPr>
          <w:rFonts w:ascii="Calibri" w:hAnsi="Calibri" w:cs="Calibri"/>
          <w:b/>
          <w:bCs/>
          <w:color w:val="2D2D2D"/>
          <w:kern w:val="0"/>
          <w:sz w:val="21"/>
          <w:szCs w:val="21"/>
        </w:rPr>
        <w:t>kotłów na biomasę na terenie Gminy Tryńcza i Gminy Raniżów</w:t>
      </w:r>
      <w:r>
        <w:rPr>
          <w:rFonts w:ascii="Calibri" w:hAnsi="Calibri" w:cs="Calibri"/>
          <w:color w:val="2D2D2D"/>
          <w:kern w:val="0"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color w:val="2D2D2D"/>
          <w:kern w:val="0"/>
          <w:sz w:val="21"/>
          <w:szCs w:val="21"/>
        </w:rPr>
        <w:t>realizowaną w ramach projektu:</w:t>
      </w:r>
      <w:r>
        <w:rPr>
          <w:rFonts w:ascii="Calibri" w:hAnsi="Calibri" w:cs="Calibri"/>
          <w:color w:val="2D2D2D"/>
          <w:kern w:val="0"/>
          <w:sz w:val="21"/>
          <w:szCs w:val="21"/>
        </w:rPr>
        <w:t xml:space="preserve"> </w:t>
      </w:r>
      <w:bookmarkStart w:id="2" w:name="__DdeLink__4941_3432330198"/>
      <w:bookmarkStart w:id="3" w:name="__DdeLink__41551_3289254707"/>
      <w:r>
        <w:rPr>
          <w:rFonts w:ascii="Calibri" w:hAnsi="Calibri" w:cs="Calibri"/>
          <w:b/>
          <w:bCs/>
          <w:color w:val="2D2D2D"/>
          <w:kern w:val="0"/>
          <w:sz w:val="21"/>
          <w:szCs w:val="21"/>
        </w:rPr>
        <w:t>„</w:t>
      </w:r>
      <w:r>
        <w:rPr>
          <w:rFonts w:ascii="Calibri" w:hAnsi="Calibri" w:cs="Calibri"/>
          <w:b/>
          <w:bCs/>
          <w:color w:val="000000"/>
          <w:kern w:val="0"/>
          <w:sz w:val="21"/>
          <w:szCs w:val="21"/>
        </w:rPr>
        <w:t>Czysta energia w Gminie Tryńcza i Gminie Raniżów</w:t>
      </w:r>
      <w:r>
        <w:rPr>
          <w:rFonts w:ascii="Calibri" w:hAnsi="Calibri" w:cs="Calibri"/>
          <w:b/>
          <w:bCs/>
          <w:color w:val="2D2D2D"/>
          <w:kern w:val="0"/>
          <w:sz w:val="21"/>
          <w:szCs w:val="21"/>
        </w:rPr>
        <w:t>”</w:t>
      </w:r>
      <w:bookmarkEnd w:id="2"/>
      <w:r>
        <w:rPr>
          <w:rFonts w:ascii="Calibri" w:hAnsi="Calibri" w:cs="Calibri"/>
          <w:color w:val="2D2D2D"/>
          <w:kern w:val="0"/>
          <w:sz w:val="21"/>
          <w:szCs w:val="21"/>
        </w:rPr>
        <w:t>. Zamówienie jest współfinansowa</w:t>
      </w:r>
      <w:r>
        <w:rPr>
          <w:rFonts w:ascii="Calibri" w:hAnsi="Calibri" w:cs="Calibri"/>
          <w:color w:val="2D2D2D"/>
          <w:kern w:val="0"/>
          <w:sz w:val="21"/>
          <w:szCs w:val="21"/>
        </w:rPr>
        <w:softHyphen/>
        <w:t>ne</w:t>
      </w:r>
      <w:bookmarkEnd w:id="3"/>
      <w:r>
        <w:rPr>
          <w:rFonts w:ascii="Calibri" w:hAnsi="Calibri" w:cs="Calibri"/>
          <w:color w:val="2D2D2D"/>
          <w:kern w:val="0"/>
          <w:sz w:val="21"/>
          <w:szCs w:val="21"/>
        </w:rPr>
        <w:t xml:space="preserve"> ze środków UE w ramach Regionalnego Programu Operacyjnego Województwa Podkarpack</w:t>
      </w:r>
      <w:r>
        <w:rPr>
          <w:rFonts w:ascii="Calibri" w:hAnsi="Calibri" w:cs="Calibri"/>
          <w:color w:val="2D2D2D"/>
          <w:kern w:val="0"/>
          <w:sz w:val="21"/>
          <w:szCs w:val="21"/>
        </w:rPr>
        <w:t>iego na lata 2014-2020 w ramach Osi Priorytetowej  nr III „Czysta energia” Działanie 3.1 Rozwój OZE.</w:t>
      </w:r>
    </w:p>
    <w:p w:rsidR="00AC1AA2" w:rsidRDefault="00AC1AA2">
      <w:pPr>
        <w:spacing w:line="276" w:lineRule="auto"/>
        <w:jc w:val="both"/>
        <w:rPr>
          <w:rFonts w:ascii="Calibri" w:hAnsi="Calibri"/>
          <w:sz w:val="21"/>
          <w:szCs w:val="21"/>
        </w:rPr>
      </w:pPr>
    </w:p>
    <w:p w:rsidR="00AC1AA2" w:rsidRDefault="00EF0242">
      <w:pPr>
        <w:pStyle w:val="Normalny1"/>
        <w:spacing w:after="60" w:line="276" w:lineRule="auto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kern w:val="0"/>
          <w:sz w:val="21"/>
          <w:szCs w:val="21"/>
        </w:rPr>
        <w:t>Na podstawie art. 38 ust. 2 ustawy z dnia 29 stycznia 2004 r. Prawo zamówień publicznych (j.t. Dz. U. z 2019 r. poz. 1843)</w:t>
      </w:r>
      <w:r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b/>
          <w:sz w:val="21"/>
          <w:szCs w:val="21"/>
        </w:rPr>
        <w:t>Zamawiający</w:t>
      </w:r>
      <w:r>
        <w:rPr>
          <w:rFonts w:ascii="Calibri" w:hAnsi="Calibri" w:cs="Arial"/>
          <w:sz w:val="21"/>
          <w:szCs w:val="21"/>
        </w:rPr>
        <w:t xml:space="preserve"> </w:t>
      </w:r>
      <w:r>
        <w:rPr>
          <w:rFonts w:ascii="Calibri" w:hAnsi="Calibri" w:cs="Arial"/>
          <w:b/>
          <w:sz w:val="21"/>
          <w:szCs w:val="21"/>
        </w:rPr>
        <w:t xml:space="preserve">przekazuje treść </w:t>
      </w:r>
      <w:r>
        <w:rPr>
          <w:rFonts w:ascii="Calibri" w:hAnsi="Calibri" w:cs="Arial"/>
          <w:b/>
          <w:sz w:val="21"/>
          <w:szCs w:val="21"/>
        </w:rPr>
        <w:t>zapytań dotyczących Specyfikacji Istotnych Warunków Zamówienia</w:t>
      </w:r>
      <w:r>
        <w:rPr>
          <w:rFonts w:ascii="Calibri" w:hAnsi="Calibri" w:cs="Arial"/>
          <w:sz w:val="21"/>
          <w:szCs w:val="21"/>
        </w:rPr>
        <w:t xml:space="preserve"> (SIWZ) </w:t>
      </w:r>
      <w:r>
        <w:rPr>
          <w:rFonts w:ascii="Calibri" w:hAnsi="Calibri" w:cs="Arial"/>
          <w:b/>
          <w:sz w:val="21"/>
          <w:szCs w:val="21"/>
        </w:rPr>
        <w:t xml:space="preserve">wraz z udzielonymi odpowiedziami. </w:t>
      </w:r>
    </w:p>
    <w:p w:rsidR="00AC1AA2" w:rsidRDefault="00AC1AA2">
      <w:pPr>
        <w:pStyle w:val="Normalny1"/>
        <w:spacing w:before="170" w:after="170" w:line="276" w:lineRule="auto"/>
        <w:jc w:val="both"/>
        <w:rPr>
          <w:b/>
          <w:bCs/>
        </w:rPr>
      </w:pP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ascii="Calibri" w:hAnsi="Calibri"/>
          <w:color w:val="auto"/>
        </w:rPr>
      </w:pPr>
      <w:r>
        <w:rPr>
          <w:rFonts w:ascii="Calibri" w:hAnsi="Calibri"/>
          <w:b/>
          <w:bCs/>
          <w:color w:val="auto"/>
          <w:sz w:val="21"/>
          <w:szCs w:val="21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Informujemy, że zgodnie z klasyfikacją PKD wykonanie instalacji kolektorów słonecznych zawarte jest w sekcji F-Budownictwo i podlega zatem Pr</w:t>
      </w:r>
      <w:r>
        <w:rPr>
          <w:rFonts w:ascii="Calibri" w:hAnsi="Calibri"/>
          <w:color w:val="auto"/>
          <w:sz w:val="21"/>
          <w:szCs w:val="21"/>
        </w:rPr>
        <w:t xml:space="preserve">awu Budowlanemu. Ponadto zgodnie z Obwieszczeniem Ministra Infrastruktury i Rozwoju poz. 1422 z dnia 17 lipca 2015 r. oraz zawarta definicją instalacji grzewczych w Rozdziale 4 par 133.1. widnieje zapis: </w:t>
      </w:r>
      <w:r>
        <w:rPr>
          <w:rFonts w:ascii="Calibri" w:hAnsi="Calibri"/>
          <w:i/>
          <w:iCs/>
          <w:color w:val="auto"/>
          <w:sz w:val="21"/>
          <w:szCs w:val="21"/>
        </w:rPr>
        <w:t>„§ 133.1. instalację grzewczą wodną stanowi układ po</w:t>
      </w:r>
      <w:r>
        <w:rPr>
          <w:rFonts w:ascii="Calibri" w:hAnsi="Calibri"/>
          <w:i/>
          <w:iCs/>
          <w:color w:val="auto"/>
          <w:sz w:val="21"/>
          <w:szCs w:val="21"/>
        </w:rPr>
        <w:t>łączonych przewodów wraz z armaturą, pompami obiegowymi, grzejnikami i innymi urządzeniami, znajdującymi się za zaworami oddzielającymi od źródła ciepła, takiego jak kotłownia, węzeł ciepłowniczy indywidualny lub grupowy, kolektory słoneczne lub pompa ciep</w:t>
      </w:r>
      <w:r>
        <w:rPr>
          <w:rFonts w:ascii="Calibri" w:hAnsi="Calibri"/>
          <w:i/>
          <w:iCs/>
          <w:color w:val="auto"/>
          <w:sz w:val="21"/>
          <w:szCs w:val="21"/>
        </w:rPr>
        <w:t xml:space="preserve">ła”. </w:t>
      </w:r>
      <w:r>
        <w:rPr>
          <w:rFonts w:ascii="Calibri" w:hAnsi="Calibri"/>
          <w:color w:val="auto"/>
          <w:sz w:val="21"/>
          <w:szCs w:val="21"/>
        </w:rPr>
        <w:t>Co oznacza, że w przedmiocie izolowania rurociągów solarnych odwiązują wymagania zgodne z obowiązującym prawem wynikającym z Rozporządzenia Ministra Transportu, Budownictwa i Gospodarki Morskiej z dnia 13 sierpnia 2013 (poz. 926.p.1.5). W przypadku ru</w:t>
      </w:r>
      <w:r>
        <w:rPr>
          <w:rFonts w:ascii="Calibri" w:hAnsi="Calibri"/>
          <w:color w:val="auto"/>
          <w:sz w:val="21"/>
          <w:szCs w:val="21"/>
        </w:rPr>
        <w:t>r do transportu cieczy solarnej obowiązują 100% wymagania według aktów jw. Uznanie instalacji kolektorów słonecznych za element instalacji centralnego ogrzewania potwierdza również Ministerstwo Infrastruktury i Budownictwa w załączonym piśmie. Prosimy o po</w:t>
      </w:r>
      <w:r>
        <w:rPr>
          <w:rFonts w:ascii="Calibri" w:hAnsi="Calibri"/>
          <w:color w:val="auto"/>
          <w:sz w:val="21"/>
          <w:szCs w:val="21"/>
        </w:rPr>
        <w:t>twierdzenie, że zgodnie z obowiązującym prawem w przypadku izolacji przewodów rurowych do transportu nośnika ciepła (tzw. rurociągów solarnych) pomiędzy kolektorami za podgrzewaczami uznane będą takie rozwiązania techniczne i takie materiały izolacyjne oru</w:t>
      </w:r>
      <w:r>
        <w:rPr>
          <w:rFonts w:ascii="Calibri" w:hAnsi="Calibri"/>
          <w:color w:val="auto"/>
          <w:sz w:val="21"/>
          <w:szCs w:val="21"/>
        </w:rPr>
        <w:t>rowania instalacji kolektorów słonecznych, które spełniają wszelkie wymagania i zastrzeżenia, jakie wynikają z 100% wymagań Rozporządzenia Ministra transportu, Budownictwa i gospodarki z dnia 13 sierpnia 2013 (poz.926.1.5).</w:t>
      </w:r>
    </w:p>
    <w:p w:rsidR="00AC1AA2" w:rsidRDefault="00EF0242">
      <w:pPr>
        <w:pStyle w:val="Normalny1"/>
        <w:spacing w:after="60" w:line="276" w:lineRule="auto"/>
        <w:ind w:left="777"/>
        <w:jc w:val="both"/>
      </w:pPr>
      <w:r>
        <w:rPr>
          <w:rStyle w:val="UMwyrniony"/>
          <w:rFonts w:ascii="Calibri" w:eastAsia="Lucida Sans Unicode" w:hAnsi="Calibri"/>
          <w:bCs/>
          <w:iCs w:val="0"/>
          <w:color w:val="auto"/>
          <w:sz w:val="21"/>
          <w:szCs w:val="21"/>
          <w:u w:val="single"/>
          <w:lang w:eastAsia="pl-PL" w:bidi="pl-PL"/>
        </w:rPr>
        <w:t>Odpowiedź</w:t>
      </w:r>
      <w:r>
        <w:rPr>
          <w:rStyle w:val="UMwyrniony"/>
          <w:rFonts w:ascii="Calibri" w:eastAsia="Lucida Sans Unicode" w:hAnsi="Calibri"/>
          <w:b w:val="0"/>
          <w:bCs/>
          <w:iCs w:val="0"/>
          <w:color w:val="auto"/>
          <w:sz w:val="21"/>
          <w:szCs w:val="21"/>
          <w:lang w:eastAsia="pl-PL" w:bidi="pl-PL"/>
        </w:rPr>
        <w:t>:</w:t>
      </w:r>
      <w:r>
        <w:rPr>
          <w:rStyle w:val="UMwyrniony"/>
          <w:rFonts w:ascii="Calibri" w:eastAsia="Times New Roman" w:hAnsi="Calibri"/>
          <w:bCs/>
          <w:iCs w:val="0"/>
          <w:color w:val="auto"/>
          <w:spacing w:val="2"/>
          <w:sz w:val="21"/>
          <w:szCs w:val="21"/>
          <w:lang w:eastAsia="pl-PL"/>
        </w:rPr>
        <w:t xml:space="preserve">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Zamawiający inform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>uje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>, że w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 prawie polskim nie ma jednoznacznych wymagań dotyczących minimalnej grubości izolacji czy współczynnika przewodzenia ciepła dla przewodów cyrkulacji płynu solarnego. Zgodnie z przywołanym § 133 ust. 1 ww. Rozporządzenia kolektory słoneczne są zdefiniowane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 jako źródło ciepła. Trudno zatem odnieść przywołane w piśmie pojęcie ,,instalacja ogrzewcza wodna", która jest klasycznym układem rozprowadzającym ciepło, do systemów kolektorów stołecznych, służących do wytwarzania ciepła. Do izolacji termicznej rur c.o.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, c.w.u. i ich cyrkulacji, wykorzystywane są otuliny wykonane z pianki poliuretanowej lub polietylenowej.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lastRenderedPageBreak/>
        <w:t>Materiały te posiadają niski współczynnik przewodzenia ciepła (wartość X osiągając 0,035 W/mK), ale mają również niskie dopuszczalne temperatury czynn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ika grzewczego (135°C w przypadku pianki poliuretanowej oraz 95°C w przypadku pianki polietylenowej), przez co ogranicza się ich zastosowanie w instalacjach solarnych. Cyrkulacja glikolowa wymaga innego rodzaju izolacji, odpornej na działanie czynników mec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hanicznych i UV oraz wysokich temperatur czynnika grzewczego- do I50°C i więcej. W porównaniu z typowymi instalacjami c.o. i c.w.u. wykorzystywane są w nich inne materiały izolacyjne, stąd wartości grubości izolacji przewodów solarnych mogą różnić się od w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artości przedstawionych w ww. Rozporządzeniu. Powszechne zastosowanie w cyrkulacji solarnej mają chociażby izolacje kauczukowe, czy izolacje oparte na aerozolach o grubości 13-18 mm. Wprowadzając proponowany przez Wykonawcę zapis Zamawiający wyeliminowałby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 produkty mające powszechne zastosowanie, co w sposób istotny ograniczyłoby uczciwą konkurencję różnych Wykonawców. Zamawiający podtrzymuje zatem zapisy i jednocześnie informuje, że są to wymagania określone jako minimalne, izolacje o wyższym współczynniku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 przewodzenia ciepła czy odporności na wyższe temperatury, jednocześnie spełniające pozostałe wymagania są jak najbardziej dopuszczalne. Grubość jest uzależniona od rodzaju zastosowanego materiału.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ascii="Calibri" w:hAnsi="Calibri"/>
          <w:color w:val="auto"/>
        </w:rPr>
      </w:pPr>
      <w:r>
        <w:rPr>
          <w:rFonts w:ascii="Calibri" w:hAnsi="Calibri"/>
          <w:b/>
          <w:bCs/>
          <w:color w:val="auto"/>
          <w:sz w:val="21"/>
          <w:szCs w:val="21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W pkt. 5 Projektu Wykonawczego Zamawiający podaje</w:t>
      </w:r>
      <w:r>
        <w:rPr>
          <w:rFonts w:ascii="Calibri" w:hAnsi="Calibri"/>
          <w:color w:val="auto"/>
          <w:sz w:val="21"/>
          <w:szCs w:val="21"/>
        </w:rPr>
        <w:t xml:space="preserve"> specy</w:t>
      </w:r>
      <w:r>
        <w:rPr>
          <w:rFonts w:ascii="Calibri" w:hAnsi="Calibri"/>
          <w:color w:val="000000"/>
          <w:sz w:val="21"/>
          <w:szCs w:val="21"/>
        </w:rPr>
        <w:t xml:space="preserve">fikację techniczną kotłów </w:t>
      </w:r>
      <w:r>
        <w:rPr>
          <w:rFonts w:ascii="Calibri" w:hAnsi="Calibri"/>
          <w:color w:val="auto"/>
          <w:sz w:val="21"/>
          <w:szCs w:val="21"/>
        </w:rPr>
        <w:t xml:space="preserve">będących przedmiotem zamówienia w sposób wyraźnie wskazujący na konkretny produkt: „stalowy, trójciągowy kocioł grzewczy wyposażony w palnik do automatycznego spalania pelletu …”; „trzeci ciąg stanowią rury o średnicy 70-80 </w:t>
      </w:r>
      <w:r>
        <w:rPr>
          <w:rFonts w:ascii="Calibri" w:hAnsi="Calibri"/>
          <w:color w:val="auto"/>
          <w:sz w:val="21"/>
          <w:szCs w:val="21"/>
        </w:rPr>
        <w:t>mm i grubości ścianki 5 mm w ilości nie mniej niż 6 sztuk…; „Płomieniówkowa część grzewcza oddzielona jest od komory paleniskowej płaską przegroda wodną, wykonaną z poprzecznie umieszczonych profili zamkniętych o przekroju 100x40 mm, z odstępem miedzy inny</w:t>
      </w:r>
      <w:r>
        <w:rPr>
          <w:rFonts w:ascii="Calibri" w:hAnsi="Calibri"/>
          <w:color w:val="auto"/>
          <w:sz w:val="21"/>
          <w:szCs w:val="21"/>
        </w:rPr>
        <w:t>mi dla zawirowania spalin i zapewnienia lepszej wymiany ciepła.”; „palnik z rurą palnikową o przekroju ośmiokąta foremnego…” Opis przedmiotu zamówienia, stanowi naszym zdaniem naruszenie art. 7 ust. 1 ustawy Prawo zamówień publicznych dotyczącego zachowani</w:t>
      </w:r>
      <w:r>
        <w:rPr>
          <w:rFonts w:ascii="Calibri" w:hAnsi="Calibri"/>
          <w:color w:val="auto"/>
          <w:sz w:val="21"/>
          <w:szCs w:val="21"/>
        </w:rPr>
        <w:t>a zasad uczciwej konkurencji i równego dostępu do zamówienia w związku z art. 29 ust. 2 tej samej ustawy, zakazującego opisu przedmiotu zamówienia w sposób utrudniający uczciwą konkurencję. Zgodnie z powyższym, czy zamawiający dopuści inne konstrukcje paln</w:t>
      </w:r>
      <w:r>
        <w:rPr>
          <w:rFonts w:ascii="Calibri" w:hAnsi="Calibri"/>
          <w:color w:val="auto"/>
          <w:sz w:val="21"/>
          <w:szCs w:val="21"/>
        </w:rPr>
        <w:t>ików pelletowych spełniających wszystkie wymagania zawarte w Projekcie Wykonawczym i SIWZ? Czy Zamawiający zgodnie z zasadami uczciwej konkurencji dopuści do udziału w postępowaniu kotły na biomasę o budowie wymiennika innej niż opisana w Projekcie Wykonaw</w:t>
      </w:r>
      <w:r>
        <w:rPr>
          <w:rFonts w:ascii="Calibri" w:hAnsi="Calibri"/>
          <w:color w:val="auto"/>
          <w:sz w:val="21"/>
          <w:szCs w:val="21"/>
        </w:rPr>
        <w:t>czym, ale jednocześnie spełniającej wszystkie pozostałe wymagania zawarte w SIWZ i Projekcie wykonawczym? Czy Zamawiający zgodnie z zasadami uczciwej konkurencji dopuści kotły na biomasę o wymiarach nieznacznie większych niż opisane w Projekcie Wykonawczym</w:t>
      </w:r>
      <w:r>
        <w:rPr>
          <w:rFonts w:ascii="Calibri" w:hAnsi="Calibri"/>
          <w:color w:val="auto"/>
          <w:sz w:val="21"/>
          <w:szCs w:val="21"/>
        </w:rPr>
        <w:t>, tj. szerokości kotła 54 cm i głębokości kotła 90 cm nie licząc paln</w:t>
      </w:r>
      <w:r>
        <w:rPr>
          <w:rFonts w:ascii="Calibri" w:hAnsi="Calibri"/>
          <w:color w:val="000000"/>
          <w:sz w:val="21"/>
          <w:szCs w:val="21"/>
        </w:rPr>
        <w:t>ika?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Style w:val="UMwyrniony"/>
          <w:rFonts w:ascii="Calibri" w:eastAsia="Lucida Sans Unicode" w:hAnsi="Calibri"/>
          <w:bCs/>
          <w:iCs w:val="0"/>
          <w:color w:val="000000"/>
          <w:sz w:val="21"/>
          <w:szCs w:val="21"/>
          <w:u w:val="single"/>
          <w:lang w:eastAsia="pl-PL" w:bidi="pl-PL"/>
        </w:rPr>
        <w:t>Odpowiedź</w:t>
      </w:r>
      <w:r>
        <w:rPr>
          <w:rStyle w:val="UMwyrniony"/>
          <w:rFonts w:ascii="Calibri" w:eastAsia="Lucida Sans Unicode" w:hAnsi="Calibri"/>
          <w:b w:val="0"/>
          <w:bCs/>
          <w:iCs w:val="0"/>
          <w:color w:val="000000"/>
          <w:sz w:val="21"/>
          <w:szCs w:val="21"/>
          <w:lang w:eastAsia="pl-PL" w:bidi="pl-PL"/>
        </w:rPr>
        <w:t>:</w:t>
      </w:r>
      <w:r>
        <w:rPr>
          <w:rFonts w:ascii="Calibri" w:hAnsi="Calibri"/>
          <w:b/>
          <w:bCs/>
          <w:color w:val="000000"/>
          <w:sz w:val="21"/>
          <w:szCs w:val="21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 xml:space="preserve">Zamawiający dopuszcza inne konstrukcje palników pelletowych spełniających wszystkie wymagania zawarte w </w:t>
      </w:r>
      <w:r>
        <w:rPr>
          <w:rFonts w:ascii="Calibri" w:hAnsi="Calibri"/>
          <w:sz w:val="21"/>
          <w:szCs w:val="21"/>
        </w:rPr>
        <w:t>P</w:t>
      </w:r>
      <w:r>
        <w:rPr>
          <w:rFonts w:ascii="Calibri" w:hAnsi="Calibri"/>
          <w:color w:val="000000"/>
          <w:sz w:val="21"/>
          <w:szCs w:val="21"/>
        </w:rPr>
        <w:t>rojekcie Wykonawczym i SIWZ. Zamawiający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 xml:space="preserve"> dopuszcza kotły na biomasę o budowie wymiennika innej niż opisana w Projekcie Wykonawczym,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ale jednocześnie spełniającej wszystkie pozostałe wymagania zawarte w SIWZ i Projekcie Wykonawczym. Zamawiający dopuszcza  kotły na biomasę o wymiarach nieznacznie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większych niż opisane w Projekcie Wykonawczym, tj. szerokości kotła 54 cm i głębokości kotła 90 cm nie licząc palnika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. Kotły powinny  spełniać 5 klasę wg PN-EN 303–5:2012 oraz być zgodne z dyrektywą ECODESIGN 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/>
          <w:bCs/>
          <w:iCs w:val="0"/>
          <w:color w:val="auto"/>
          <w:spacing w:val="2"/>
          <w:sz w:val="21"/>
          <w:szCs w:val="21"/>
          <w:lang w:eastAsia="pl-PL"/>
        </w:rPr>
        <w:t xml:space="preserve">Pytanie: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Czy Zamawiający odstąpi od zapisu dotyczącego funkcjonalności sterownika i możliwości zliczania i zapisu na karcie mikro SD impulsów z zewnętrznego przepływomierza, zachowując jednocześnie funkcjonalność sterownika dotyczącego zliczania i zapisu impulsów z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 zewnętrznego przepływomierza poprzez Ethernet? Moduł internetowy daje możliwość odczytu i zapisu wyprodukowanej energii, zaś stosowanie dodatkowego zapisu na karcie mikro SD generuje dodatkowe i niekonieczne koszty zarówno zabudowy jak i użytkowania. Czy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Zamawiający dopuści możliwość zapisu danych na pendrive zamiast na karcie mikro SD? Zapis na pendrive jest powszechniejszą i 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lastRenderedPageBreak/>
        <w:t>wygodniejsza forma odczytu danych.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Odpowiedź:</w:t>
      </w:r>
      <w:r>
        <w:rPr>
          <w:rFonts w:ascii="Calibri" w:hAnsi="Calibri"/>
          <w:color w:val="000000"/>
          <w:sz w:val="21"/>
          <w:szCs w:val="21"/>
        </w:rPr>
        <w:t xml:space="preserve"> Zamawiający dopuszcz</w:t>
      </w:r>
      <w:r>
        <w:rPr>
          <w:rFonts w:ascii="Calibri" w:hAnsi="Calibri"/>
          <w:color w:val="auto"/>
          <w:sz w:val="21"/>
          <w:szCs w:val="21"/>
        </w:rPr>
        <w:t xml:space="preserve">a możliwość zapisu danych na pendrive i na karcie mikro SD.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/>
          <w:bCs/>
          <w:iCs w:val="0"/>
          <w:color w:val="000000"/>
          <w:spacing w:val="2"/>
          <w:sz w:val="21"/>
          <w:szCs w:val="21"/>
          <w:lang w:eastAsia="pl-PL"/>
        </w:rPr>
        <w:t>Pyta</w:t>
      </w:r>
      <w:r>
        <w:rPr>
          <w:rStyle w:val="UMwyrniony"/>
          <w:rFonts w:ascii="Calibri" w:eastAsia="Times New Roman" w:hAnsi="Calibri"/>
          <w:bCs/>
          <w:iCs w:val="0"/>
          <w:color w:val="000000"/>
          <w:spacing w:val="2"/>
          <w:sz w:val="21"/>
          <w:szCs w:val="21"/>
          <w:lang w:eastAsia="pl-PL"/>
        </w:rPr>
        <w:t xml:space="preserve">nie: 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>Czy Zamawiający, w ramach części I i II zadania (instalacje fotowoltaiczne) dopuści do zastosowania dla instalacji modułów PV opartych o ogniwa wykonane w technologii MWT? Moduły wyprodukowane w oparciu o ogniwa w tej technologii posiadają szereg zale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 xml:space="preserve">t w porównaniu z klasycznymi modułami wykonanymi w technologii szynowodowej (busbarowej) takich jak mniejsze straty na linii ogniwo-moduł, wyższy współczynnik wypełnienia, czy niższy współczynnik temperaturowy (w wartości bezwzględnej tego współczynnika). </w:t>
      </w:r>
      <w:r>
        <w:rPr>
          <w:rStyle w:val="UMwyrniony"/>
          <w:rFonts w:ascii="Calibri" w:eastAsia="Times New Roman" w:hAnsi="Calibri"/>
          <w:b w:val="0"/>
          <w:bCs/>
          <w:iCs w:val="0"/>
          <w:color w:val="000000"/>
          <w:spacing w:val="2"/>
          <w:sz w:val="21"/>
          <w:szCs w:val="21"/>
          <w:lang w:eastAsia="pl-PL"/>
        </w:rPr>
        <w:t>W przypadku akceptacji przez Zamawi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ającego tej technologii prosimy o potwierdzenie, że oferta w oparciu o moduł wykonany w technologii MWT otrzyma maksymalna punktacje w kryterium ilości szynowodów (LS).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/>
          <w:color w:val="auto"/>
          <w:sz w:val="21"/>
          <w:szCs w:val="21"/>
        </w:rPr>
        <w:t xml:space="preserve"> </w:t>
      </w:r>
      <w:r>
        <w:rPr>
          <w:rStyle w:val="UMwyrniony"/>
          <w:rFonts w:asciiTheme="minorHAnsi" w:eastAsia="Lucida Sans Unicode" w:hAnsiTheme="minorHAnsi" w:cstheme="minorHAnsi"/>
          <w:b w:val="0"/>
          <w:color w:val="auto"/>
          <w:sz w:val="21"/>
          <w:szCs w:val="21"/>
          <w:lang w:eastAsia="pl-PL" w:bidi="pl-PL"/>
        </w:rPr>
        <w:t>Zamawiający nie wyraża zgody na proponowa</w:t>
      </w:r>
      <w:r>
        <w:rPr>
          <w:rStyle w:val="UMwyrniony"/>
          <w:rFonts w:asciiTheme="minorHAnsi" w:eastAsia="Lucida Sans Unicode" w:hAnsiTheme="minorHAnsi" w:cstheme="minorHAnsi"/>
          <w:b w:val="0"/>
          <w:color w:val="auto"/>
          <w:sz w:val="21"/>
          <w:szCs w:val="21"/>
          <w:lang w:eastAsia="pl-PL" w:bidi="pl-PL"/>
        </w:rPr>
        <w:t>ne zmiany. Zapisy SIWZ pozostają bez zmian w tym zakresie.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/>
          <w:bCs/>
          <w:iCs w:val="0"/>
          <w:color w:val="auto"/>
          <w:spacing w:val="2"/>
          <w:sz w:val="21"/>
          <w:szCs w:val="21"/>
          <w:lang w:eastAsia="pl-PL"/>
        </w:rPr>
        <w:t xml:space="preserve">Pytanie: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W ramach części I i II zadania (instalacje fotowoltaiczne) Zamawiający w załączniku nr 1 (szczegółowy opis przedmiotu zamówienia) określił wymagania odnośnie minimalnej sprawności 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falowników fotowoltaicznych. Jednocześnie Zamawiający w SIWZ określił, że sprawność falownika (falowników) jest kryteriom podlegającym punktacji (kryterium SI). Prosimy o potwierdzenie, że Zamawiający nie będzie brał pod uwagę wymagań dotyczących sprawnośc</w:t>
      </w:r>
      <w:r>
        <w:rPr>
          <w:rStyle w:val="UMwyrniony"/>
          <w:rFonts w:ascii="Calibri" w:eastAsia="Times New Roman" w:hAnsi="Calibri"/>
          <w:b w:val="0"/>
          <w:bCs/>
          <w:iCs w:val="0"/>
          <w:color w:val="auto"/>
          <w:spacing w:val="2"/>
          <w:sz w:val="21"/>
          <w:szCs w:val="21"/>
          <w:lang w:eastAsia="pl-PL"/>
        </w:rPr>
        <w:t>i falowników opisanych w SOPZ, a jedynie oceniał falowniki na podstawie kryterium punktacji opisanej w SIWZ.</w:t>
      </w:r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/>
          <w:b/>
          <w:bCs/>
          <w:color w:val="auto"/>
          <w:sz w:val="21"/>
          <w:szCs w:val="21"/>
          <w:u w:val="single"/>
        </w:rPr>
        <w:t xml:space="preserve">Odpowiedź:  </w:t>
      </w: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 xml:space="preserve">Zamawiający zmienia kryteria oceny ofert dla części i i II w kryterium: sprawność inwertera – Europejska sprawność ważona (nEU) (SI) – </w:t>
      </w: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>10%=10 pkt. Pkt 17.1.5. SIWZ otrzymuje brzmienie:</w:t>
      </w:r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Calibri"/>
          <w:b/>
          <w:color w:val="auto"/>
          <w:sz w:val="21"/>
          <w:szCs w:val="21"/>
          <w:lang w:eastAsia="pl-PL"/>
        </w:rPr>
        <w:t xml:space="preserve">17.1.5. </w:t>
      </w:r>
      <w:bookmarkStart w:id="4" w:name="__DdeLink__5648_15422959191"/>
      <w:r>
        <w:rPr>
          <w:rFonts w:ascii="Calibri" w:hAnsi="Calibri" w:cs="Calibri"/>
          <w:b/>
          <w:color w:val="auto"/>
          <w:sz w:val="20"/>
          <w:szCs w:val="20"/>
        </w:rPr>
        <w:t xml:space="preserve">Sprawność </w:t>
      </w:r>
      <w:r>
        <w:rPr>
          <w:rFonts w:ascii="Calibri" w:hAnsi="Calibri" w:cs="Calibri"/>
          <w:b/>
          <w:bCs/>
          <w:i/>
          <w:iCs/>
          <w:color w:val="auto"/>
          <w:sz w:val="20"/>
          <w:szCs w:val="20"/>
        </w:rPr>
        <w:t xml:space="preserve">inwertera – Europejska sprawność ważona (nEU)  (SI) - </w:t>
      </w:r>
      <w:r>
        <w:rPr>
          <w:rFonts w:ascii="Calibri" w:hAnsi="Calibri" w:cs="Calibri"/>
          <w:b/>
          <w:color w:val="auto"/>
          <w:sz w:val="20"/>
          <w:szCs w:val="20"/>
        </w:rPr>
        <w:t>10%=10 pkt</w:t>
      </w:r>
      <w:bookmarkEnd w:id="4"/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Punkty za kryterium „Sprawność 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>inwertera</w:t>
      </w: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color w:val="auto"/>
          <w:sz w:val="20"/>
          <w:szCs w:val="20"/>
        </w:rPr>
        <w:t xml:space="preserve">– Europejska sprawność ważona (nEU) </w:t>
      </w:r>
      <w:r>
        <w:rPr>
          <w:rFonts w:ascii="Calibri" w:hAnsi="Calibri" w:cs="Calibri"/>
          <w:color w:val="auto"/>
          <w:sz w:val="20"/>
          <w:szCs w:val="20"/>
        </w:rPr>
        <w:t xml:space="preserve">- SI” </w:t>
      </w:r>
      <w:r>
        <w:rPr>
          <w:rFonts w:ascii="Calibri" w:hAnsi="Calibri" w:cs="Calibri"/>
          <w:bCs/>
          <w:color w:val="auto"/>
          <w:sz w:val="20"/>
          <w:szCs w:val="20"/>
        </w:rPr>
        <w:t>będą przyznawane zgodnie z tabelą:</w:t>
      </w:r>
    </w:p>
    <w:p w:rsidR="00AC1AA2" w:rsidRDefault="00AC1AA2">
      <w:pPr>
        <w:pStyle w:val="DomylneA"/>
        <w:tabs>
          <w:tab w:val="left" w:pos="373"/>
          <w:tab w:val="left" w:pos="873"/>
        </w:tabs>
        <w:spacing w:after="120" w:line="276" w:lineRule="auto"/>
        <w:ind w:left="567" w:firstLine="0"/>
        <w:jc w:val="left"/>
        <w:rPr>
          <w:rFonts w:ascii="Calibri" w:hAnsi="Calibri" w:cs="Calibri"/>
          <w:color w:val="auto"/>
          <w:sz w:val="20"/>
          <w:szCs w:val="20"/>
        </w:rPr>
      </w:pPr>
    </w:p>
    <w:tbl>
      <w:tblPr>
        <w:tblW w:w="5140" w:type="dxa"/>
        <w:tblInd w:w="167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11"/>
        <w:gridCol w:w="1273"/>
        <w:gridCol w:w="1956"/>
      </w:tblGrid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Wartość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jednostka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punkty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 96,4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96,5– 96,8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96,9 i więcej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</w:tbl>
    <w:p w:rsidR="00AC1AA2" w:rsidRDefault="00AC1AA2">
      <w:pPr>
        <w:pStyle w:val="DomylneA"/>
        <w:widowControl w:val="0"/>
        <w:spacing w:after="120" w:line="276" w:lineRule="auto"/>
        <w:ind w:firstLine="0"/>
        <w:rPr>
          <w:rFonts w:ascii="Calibri" w:eastAsia="Times New Roman" w:hAnsi="Calibri" w:cs="Calibri"/>
          <w:color w:val="auto"/>
          <w:sz w:val="21"/>
          <w:szCs w:val="21"/>
          <w:lang w:eastAsia="pl-PL"/>
        </w:rPr>
      </w:pP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/>
          <w:bCs/>
          <w:iCs w:val="0"/>
          <w:color w:val="auto"/>
          <w:spacing w:val="2"/>
          <w:sz w:val="21"/>
          <w:szCs w:val="21"/>
          <w:lang w:eastAsia="pl-PL"/>
        </w:rPr>
        <w:t xml:space="preserve">Pytanie: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Prosimy o uznanie za równoważne doświadczeniu w wykonaniu inst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>alacji fotowoltaicznych (część I i II) doświadczenie w wykonaniu instalacji kolektorów słonecznych (w ilości opisanej przez Zamawiającego tj. 150 instalacji dla części I zadania oraz 120 instalacji w II części zadania), łącznie z doświadczeniem w wykonaniu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 xml:space="preserve"> instalacji fotowoltaicznych o łącznej mocy 500kWp dla każdego zadania. Pragniemy w tym przytoczyć stanowisko Krajowej Izby Odwoławczej, który brzmi, że „Niezasadnym jest zatem przyjęcie, iż tylko wykonanie usług o tożsamym bądź bardzo zbliżonym zakresie ś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>wiadczy o tym, że wykonawca posiada zdolność techniczną i zawodową odpowiednią do zrealizowania zadania” (KIO 8/17). Wykazanie przez oferenta doświadczenia w wykonaniu wymaganych ilości instalacji potwierdza jego zdolność w umiejętności zarządzania projekt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 xml:space="preserve">em o skali wymaganej przez Zamawiającego, a z kolei wykazanie wykonania instalacji fotowoltaicznych potwierdza umiejętności techniczne stricte związane z technologią poszczególnych części zamówienia. W przypadku negatywnej odpowiedzi Zamawiającego prosimy 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>o uznanie za równoważne doświadczenie w wykonaniu 150 instalacji dla I części zadania oraz 120 instalacji dla II części zadania w ramach maksymalnie dwóch kontraktów. Wiele zakończonych, bądź trwających podobnych projektów jest również w podobny sposób kon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 xml:space="preserve">traktowanych (gdzie zadanie jest organizowane jako jeden przetarg, a Zamawiający to kilka gmin). Wykonawca otrzymuje referencje od każdej gminy osobno i 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lastRenderedPageBreak/>
        <w:t>pomimo, że wykonuje w ramach zadania znacznie większą ilość instalacji niż wymagana w przedmiotowym zad</w:t>
      </w:r>
      <w:r>
        <w:rPr>
          <w:rStyle w:val="UMwyrniony"/>
          <w:rFonts w:ascii="Calibri" w:eastAsia="Times New Roman" w:hAnsi="Calibri"/>
          <w:b w:val="0"/>
          <w:iCs w:val="0"/>
          <w:color w:val="000000"/>
          <w:spacing w:val="2"/>
          <w:sz w:val="21"/>
          <w:szCs w:val="21"/>
          <w:lang w:eastAsia="pl-PL"/>
        </w:rPr>
        <w:t xml:space="preserve">aniu, to umowy są podpisywane z każdą gminą osobno i każda gmina wystawia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 xml:space="preserve">Wykonawcy referencje, przez co Wykonawcy mogą nie dysponować referencjami na wykonanie instalacji w ilościach wskazanych przez Zamawiającego w ramach jednej umowy, gdzie de facto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wykonują (wykonali) zadania znacznie bardziej obszerne.</w:t>
      </w:r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/>
          <w:color w:val="auto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>Zamawiający zmienia warunki udziału w postępowaniu dotyczące zdolności technicznej i zawodowej w zakresie części I i II. Pkt 5.5.3.1. i 5.5.3.2. SIWZ otrzymują brzmienie: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 xml:space="preserve">5.5.3.1.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>Część I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-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wykonania w okresie ostatnich 5 lat przed terminem składania ofert, a jeżeli okres prowadzenia działalności jest krótszy - w tym okresie, dostaw wraz z montażem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fotowoltaicznych na budynkach w ilości minimum 150 instalacji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>w ramach jednego zamó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>wienia (umowy)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lang w:eastAsia="ar-SA"/>
        </w:rPr>
        <w:t xml:space="preserve"> lub </w:t>
      </w:r>
      <w:r>
        <w:rPr>
          <w:rFonts w:ascii="Calibri" w:eastAsia="ArialMT" w:hAnsi="Calibri" w:cs="Calibri"/>
          <w:b/>
          <w:bCs/>
          <w:color w:val="auto"/>
          <w:sz w:val="21"/>
          <w:szCs w:val="21"/>
          <w:u w:val="single"/>
          <w:lang w:eastAsia="ar-SA"/>
        </w:rPr>
        <w:t xml:space="preserve">instalacji kolektorów słonecznych w ilości minimum 150 instalacji o łącznej mocy 500kWp 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w ramach jednego zamówienia (umowy). 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Przez instalację fotowoltaiczną należy rozumieć zespół urządzeń i elementów (panele słoneczne, falowniki czyli i</w:t>
      </w:r>
      <w:r>
        <w:rPr>
          <w:rFonts w:ascii="Calibri" w:eastAsia="ArialMT" w:hAnsi="Calibri" w:cs="Calibri"/>
          <w:bCs/>
          <w:color w:val="auto"/>
          <w:sz w:val="21"/>
          <w:szCs w:val="21"/>
          <w:lang w:eastAsia="ar-SA"/>
        </w:rPr>
        <w:t>nwertery fotowoltaiczne, zabezpieczenie AC/DC, przewody solarne, stelaże), które mają za zadanie przetworzyć energię promieniowania słonecznego na energię elektryczną.</w:t>
      </w:r>
    </w:p>
    <w:p w:rsidR="00AC1AA2" w:rsidRDefault="00EF0242">
      <w:pPr>
        <w:pStyle w:val="SIWZ2"/>
        <w:widowControl w:val="0"/>
        <w:spacing w:after="227" w:line="276" w:lineRule="auto"/>
        <w:ind w:left="777"/>
        <w:jc w:val="both"/>
        <w:rPr>
          <w:rFonts w:hint="eastAsia"/>
        </w:rPr>
      </w:pPr>
      <w:r>
        <w:rPr>
          <w:rFonts w:ascii="Calibri" w:eastAsia="Calibri" w:hAnsi="Calibri" w:cs="Calibri"/>
          <w:sz w:val="21"/>
          <w:szCs w:val="21"/>
          <w:lang w:eastAsia="ar-SA" w:bidi="ar-SA"/>
        </w:rPr>
        <w:t xml:space="preserve">5.5.3.2.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>Część II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- wykonania w okresie ostatnich 5 lat przed terminem składania ofert, a jeżeli okres prowadzenia działalności jest krótszy - w tym okresie, dostaw wraz z montażem instalacji fotowoltaicznych na budynkach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w ilości minimum 120 instalacji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w ramach jednego zam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ówienia (umowy) 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lub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instalacji kolektorów słonecznych w ilości minimum 120 instalacji o łącznej mocy 500kWp 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>w ramach jednego zamówienia (umowy).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 Przez instalację fotowoltaiczną należy rozumieć zespół urządzeń i elementów (panele słoneczne, falowniki czyli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inwertery fotowoltaiczne, zabezpieczenie AC/DC, przewody solarne, stelaże), które mają za zadanie przetworzyć energię promieniowania słonecznego na energię elektryczną.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 w:cs="Calibri"/>
          <w:bCs/>
          <w:iCs w:val="0"/>
          <w:color w:val="auto"/>
          <w:spacing w:val="2"/>
          <w:sz w:val="21"/>
          <w:szCs w:val="21"/>
          <w:lang w:eastAsia="pl-PL"/>
        </w:rPr>
        <w:t xml:space="preserve">Pytanie: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Prosimy o potwierdzenie, że dostawa modułów LAN jest objęta niniejszym zamówie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niem i dotyczy wszystkich instalacji solarnych.</w:t>
      </w:r>
    </w:p>
    <w:p w:rsidR="00AC1AA2" w:rsidRDefault="00EF0242">
      <w:pPr>
        <w:pStyle w:val="Normalny1"/>
        <w:spacing w:after="170" w:line="276" w:lineRule="auto"/>
        <w:ind w:left="777"/>
        <w:jc w:val="both"/>
      </w:pPr>
      <w:r>
        <w:rPr>
          <w:rFonts w:ascii="Calibri" w:hAnsi="Calibri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 xml:space="preserve">Zamawiający potwierdza, że dostawa dostawa modułów LAN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jest objęta niniejszym zamówieniem i dotyczy wszystkich instalacji solarnych.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Style w:val="UMwyrniony"/>
          <w:rFonts w:ascii="Calibri" w:eastAsia="Times New Roman" w:hAnsi="Calibri" w:cs="Calibri"/>
          <w:bCs/>
          <w:iCs w:val="0"/>
          <w:color w:val="auto"/>
          <w:spacing w:val="2"/>
          <w:sz w:val="21"/>
          <w:szCs w:val="21"/>
          <w:lang w:eastAsia="pl-PL"/>
        </w:rPr>
        <w:t xml:space="preserve">Pytanie: 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Prosimy o rezygnację z wymaganego systemu podtrzymywani</w:t>
      </w:r>
      <w:r>
        <w:rPr>
          <w:rStyle w:val="UMwyrniony"/>
          <w:rFonts w:ascii="Calibri" w:eastAsia="Times New Roman" w:hAnsi="Calibri"/>
          <w:b w:val="0"/>
          <w:iCs w:val="0"/>
          <w:color w:val="auto"/>
          <w:spacing w:val="2"/>
          <w:sz w:val="21"/>
          <w:szCs w:val="21"/>
          <w:lang w:eastAsia="pl-PL"/>
        </w:rPr>
        <w:t>a napięcia UPS. Rozwiązanie to w znacznym stopniu powoduje podwyższenie kosztów wykonania każdej instalacji, co ekonomicznie ma na uzasadnienia w przedmiotowym postępowaniu.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 xml:space="preserve"> Zamawiający rezygnuje z montażu systemu podtrzymującego napięcie UPS. </w:t>
      </w:r>
      <w:r>
        <w:rPr>
          <w:rFonts w:ascii="Calibri" w:hAnsi="Calibri"/>
          <w:color w:val="auto"/>
          <w:sz w:val="21"/>
          <w:szCs w:val="21"/>
        </w:rPr>
        <w:t>Wykonawca musi zapewnić ochronę w przypadku wyłączenia prądu – Zamawiający dopuszcza inne rozwiązania o podobnym skutku.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 xml:space="preserve">Zwracam się z prośbą o pominięcie (lub zwiększenie) wymogu </w:t>
      </w:r>
      <w:r>
        <w:rPr>
          <w:rFonts w:ascii="Calibri" w:hAnsi="Calibri"/>
          <w:color w:val="auto"/>
          <w:sz w:val="21"/>
          <w:szCs w:val="21"/>
        </w:rPr>
        <w:t xml:space="preserve">maksymalnej masy całkowitej panelu. Załączone projekty są sprzed </w:t>
      </w:r>
      <w:r>
        <w:rPr>
          <w:rFonts w:ascii="Calibri" w:hAnsi="Calibri"/>
          <w:color w:val="auto"/>
          <w:sz w:val="21"/>
          <w:szCs w:val="21"/>
        </w:rPr>
        <w:t>ponad 3 lat. Na rynku OZE nastąpił znaczny rozwój technologiczny i obecne panele są jednostkowo cięższe, ale dzięki większym mocom pozwalają na zredukowanie ilości paneli co za tym idzie zredukowanie masy całkowitej instalacji.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nie s</w:t>
      </w:r>
      <w:r>
        <w:rPr>
          <w:rFonts w:ascii="Calibri" w:hAnsi="Calibri" w:cs="Liberation Serif"/>
          <w:color w:val="auto"/>
          <w:sz w:val="21"/>
          <w:szCs w:val="21"/>
        </w:rPr>
        <w:t>tawia warunków w tym zakresie, natomiast do Wykonawcy będzie należała ocena nośności dachu lub innego elementu budynku pod względem obciążenia od instalacji.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>Czy Zamawiający dopuści użycie RCD z charakterystyką typy A 30mA?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Zamawiający </w:t>
      </w:r>
      <w:r>
        <w:rPr>
          <w:rFonts w:ascii="Calibri" w:hAnsi="Calibri" w:cs="Liberation Serif"/>
          <w:color w:val="auto"/>
          <w:sz w:val="21"/>
          <w:szCs w:val="21"/>
        </w:rPr>
        <w:t xml:space="preserve">nie dopuszcza użycia RCD  typy A 30mA, użycie tego typu RCD skutkowałoby częstym rozłączaniem instalacji PV w skutek działania/pracy inwertera.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RCD z charakterystyką typu A 100mA?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RCD z charakterystyką typy A 30mA ze znamionową zdolnością zwarciową 10kA?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 Patrz odpowiedź na pytanie nr 10.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RCD z charakterystyką typy A 100mA ze znamionową zdolno</w:t>
      </w:r>
      <w:r>
        <w:rPr>
          <w:rFonts w:ascii="Calibri" w:hAnsi="Calibri"/>
          <w:color w:val="auto"/>
          <w:sz w:val="21"/>
          <w:szCs w:val="21"/>
        </w:rPr>
        <w:t>ścią zwarciową 10kA?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Zwracamy się z prośbą o podanie typu, charakterystyki oraz zdolności zwarciowej wyłącznika różnicowo prądowego.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 Zgodnie z pytaniem i odpowiedzią nr 13.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Zamawiający </w:t>
      </w:r>
      <w:r>
        <w:rPr>
          <w:rFonts w:ascii="Calibri" w:hAnsi="Calibri"/>
          <w:color w:val="auto"/>
          <w:sz w:val="21"/>
          <w:szCs w:val="21"/>
        </w:rPr>
        <w:t>dopuści użycie ochronników przepięć AC B+C ze zdolnością zwarciową 6kA?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Zwracamy się z prośbą o podanie minimalnych parametrów ochronników przepięć AC.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Minimalne parametry: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Klasa I,II ;  T1 T2 (B+C)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Nap</w:t>
      </w:r>
      <w:r>
        <w:rPr>
          <w:rFonts w:ascii="Calibri" w:hAnsi="Calibri" w:cs="Liberation Serif"/>
          <w:color w:val="auto"/>
          <w:sz w:val="21"/>
          <w:szCs w:val="21"/>
        </w:rPr>
        <w:t>ięcie pracy ciągłej do 275V AC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Poziom napięcia ochrony 1 kV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Prąd próbny (10/350) I peak 6 kA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Prąd maksymalny (8/20) Imax 50kA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Prąd próbny (8/20) In 20kA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Temperatura pracy - 40 ~ 85</w:t>
      </w:r>
      <w:r>
        <w:rPr>
          <w:rFonts w:ascii="Calibri" w:hAnsi="Calibri" w:cs="Liberation Serif"/>
          <w:color w:val="auto"/>
          <w:sz w:val="21"/>
          <w:szCs w:val="21"/>
          <w:vertAlign w:val="superscript"/>
        </w:rPr>
        <w:t>o</w:t>
      </w:r>
      <w:r>
        <w:rPr>
          <w:rFonts w:ascii="Calibri" w:hAnsi="Calibri" w:cs="Liberation Serif"/>
          <w:color w:val="auto"/>
          <w:sz w:val="21"/>
          <w:szCs w:val="21"/>
        </w:rPr>
        <w:t>C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Montaż TH35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Zabezpieczenie 32A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Zwracamy się z prośbą o podanie </w:t>
      </w:r>
      <w:r>
        <w:rPr>
          <w:rFonts w:ascii="Calibri" w:hAnsi="Calibri"/>
          <w:color w:val="auto"/>
          <w:sz w:val="21"/>
          <w:szCs w:val="21"/>
        </w:rPr>
        <w:t>minimalnych parametrów ochronników przepięć DC, podanie prądu wyładowczego oraz prądu udarowego.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Minimalne parametry: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Klasa I,II / typ 1+2  (B+C)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Spełnia standardy IEC/EN 50539-11-2013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Napięcie nominalne Ucpv  1000V DC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Znamionowy prąd wyładowczy</w:t>
      </w:r>
      <w:r>
        <w:rPr>
          <w:rFonts w:ascii="Calibri" w:hAnsi="Calibri" w:cs="Liberation Serif"/>
          <w:color w:val="auto"/>
          <w:sz w:val="21"/>
          <w:szCs w:val="21"/>
        </w:rPr>
        <w:t xml:space="preserve"> In (8/20)       20kA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Maksymalny prą wyładowczy Imax (8/20)    50kA</w:t>
      </w:r>
    </w:p>
    <w:p w:rsidR="00AC1AA2" w:rsidRDefault="00EF0242">
      <w:pPr>
        <w:pStyle w:val="Normalny1"/>
        <w:spacing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Znamionowy prąd wyładowczy Iimp(10/350) 12,5 kA na biegun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Zdalna sygnalizacja uszkodzeń - styk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Prosimy o podanie znamionowej zdolności zwarciowej ochronników DC.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17.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DC bez użycia rozłączników z wkładkami gPV?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 Zamawiający nie dopuszcza takiego rozwiązania.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rur karbowanyc</w:t>
      </w:r>
      <w:r>
        <w:rPr>
          <w:rFonts w:ascii="Calibri" w:hAnsi="Calibri"/>
          <w:color w:val="auto"/>
          <w:sz w:val="21"/>
          <w:szCs w:val="21"/>
        </w:rPr>
        <w:t>h do prowadzenia przewodów DC?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dopuści użycie rur karbowanych tylko do prowadzenia po dachu pod panelami PV przewodów DC, w innych przypadkach należy użyć rur elektroinstalacyjnych twardych lub listew elektroinstalacyjnych.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wymaga użycie sztywnych rurek do prowadzenia przewodów DC?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Zgodnie z odpowiedzią na pytanie nr 20.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wymaga użycie sztywnych kolanek do rurek do prowadzenia przewodów DC?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Tak, Zamawiający wymaga </w:t>
      </w:r>
      <w:r>
        <w:rPr>
          <w:rFonts w:ascii="Calibri" w:hAnsi="Calibri" w:cs="Liberation Serif"/>
          <w:color w:val="auto"/>
          <w:sz w:val="21"/>
          <w:szCs w:val="21"/>
        </w:rPr>
        <w:t>użycia sztywnych kolanek do rurek do prowadzenia przewodów DC.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Prosimy o podanie minimalnej grubości ramy modułów PV.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i/>
          <w:iCs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w tym zakresie stawia wymagania tylko max. grubości ramek do 40 mm.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</w:t>
      </w:r>
      <w:r>
        <w:rPr>
          <w:rFonts w:ascii="Calibri" w:hAnsi="Calibri"/>
          <w:color w:val="auto"/>
          <w:sz w:val="21"/>
          <w:szCs w:val="21"/>
        </w:rPr>
        <w:t>ie przewodów DC 4mm2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>T</w:t>
      </w:r>
      <w:r>
        <w:rPr>
          <w:rFonts w:ascii="Calibri" w:hAnsi="Calibri" w:cs="Liberation Serif"/>
          <w:color w:val="auto"/>
          <w:sz w:val="21"/>
          <w:szCs w:val="21"/>
        </w:rPr>
        <w:t>ak,  Zamawiający dopuszcza użycie przewodów DC 4mm2.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000000"/>
          <w:sz w:val="21"/>
          <w:szCs w:val="21"/>
        </w:rPr>
        <w:t>Czy Zamawiający dopuści montaż falowników jednofazowych w instalacjach z inwerterem 3kW, zgodnie z wytycznymi Operatora Sieci Dystrybucyjnej?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 xml:space="preserve">Odpowiedź: </w:t>
      </w:r>
      <w:r>
        <w:rPr>
          <w:rFonts w:ascii="Calibri" w:hAnsi="Calibri"/>
          <w:sz w:val="21"/>
          <w:szCs w:val="21"/>
        </w:rPr>
        <w:t xml:space="preserve">Nie, </w:t>
      </w:r>
      <w:r>
        <w:rPr>
          <w:rFonts w:ascii="Calibri" w:hAnsi="Calibri"/>
          <w:sz w:val="21"/>
          <w:szCs w:val="21"/>
        </w:rPr>
        <w:t>Zamawiający nie dopuszcza montażu falowników jednofazowych w instalacjach z inwerterem 3kW.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sz w:val="21"/>
          <w:szCs w:val="21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montaż falowników jednofazowych w instalacjach z inwerterem 4kW, zgodnie z wytycznymi Operatora Sieci Dystrybucyjnej?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Ni</w:t>
      </w:r>
      <w:r>
        <w:rPr>
          <w:rFonts w:ascii="Calibri" w:hAnsi="Calibri" w:cs="Liberation Serif"/>
          <w:color w:val="auto"/>
          <w:sz w:val="21"/>
          <w:szCs w:val="21"/>
        </w:rPr>
        <w:t>e, Zamawiający nie dopuszcza montażu falowników jednofazowych w instalacjach z inwerterem 4kW.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zastosowanie ochronników przepięć AC typ II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Zwracam się z uprzejmą</w:t>
      </w:r>
      <w:r>
        <w:rPr>
          <w:rFonts w:ascii="Calibri" w:hAnsi="Calibri"/>
          <w:color w:val="auto"/>
          <w:sz w:val="21"/>
          <w:szCs w:val="21"/>
        </w:rPr>
        <w:t xml:space="preserve"> prośbą do Zamawiającego o udzielenie informacji dotyczącej pokryć dachowych dla wszystkich instalacji fotowoltaicznych, których montaż zamawiający przewiduje na dachach budynków jednorodzinnych, gospodarczych, oraz użyteczności publicznej. Informacja ta j</w:t>
      </w:r>
      <w:r>
        <w:rPr>
          <w:rFonts w:ascii="Calibri" w:hAnsi="Calibri"/>
          <w:color w:val="auto"/>
          <w:sz w:val="21"/>
          <w:szCs w:val="21"/>
        </w:rPr>
        <w:t>est konieczna dla wyceny konstrukcji montażowej która jest jednym z elementów kompletnej instalacji fotowoltaicznej.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Calibri"/>
          <w:color w:val="auto"/>
          <w:sz w:val="21"/>
          <w:szCs w:val="21"/>
        </w:rPr>
        <w:t>W tym zakresie Zamawiający zwraca uwagę, iż pokrycia dachowe mogły ulec zmianie od chwili powstania projektu, należy przewidzieć</w:t>
      </w:r>
      <w:r>
        <w:rPr>
          <w:rFonts w:ascii="Calibri" w:hAnsi="Calibri" w:cs="Calibri"/>
          <w:color w:val="auto"/>
          <w:sz w:val="21"/>
          <w:szCs w:val="21"/>
        </w:rPr>
        <w:t xml:space="preserve"> i skalkulować odpowiednio największe  pod względem ceny i kosztu warianty.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AC B+C ze zdolnością zwarciową 6kA?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</w:t>
      </w:r>
      <w:r>
        <w:rPr>
          <w:rFonts w:ascii="Calibri" w:hAnsi="Calibri"/>
          <w:color w:val="auto"/>
          <w:sz w:val="21"/>
          <w:szCs w:val="21"/>
        </w:rPr>
        <w:t>i użycie ochronników przepięć AC B+C Imax- 50kA?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DC B+C z prądem udarowym na jeden biegun 10/350 Iimp 6kA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Zgodnie z odpowiedzią na </w:t>
      </w:r>
      <w:r>
        <w:rPr>
          <w:rFonts w:ascii="Calibri" w:hAnsi="Calibri" w:cs="Liberation Serif"/>
          <w:color w:val="auto"/>
          <w:sz w:val="21"/>
          <w:szCs w:val="21"/>
        </w:rPr>
        <w:t>pytanie nr 17.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lastRenderedPageBreak/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DC B+C z prądem udarowym na jeden biegun 10/350 Iimp 10 kA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17.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Zamawiający dopuści użycie ochronników przepięć DC B+C </w:t>
      </w:r>
      <w:r>
        <w:rPr>
          <w:rFonts w:ascii="Calibri" w:hAnsi="Calibri"/>
          <w:color w:val="auto"/>
          <w:sz w:val="21"/>
          <w:szCs w:val="21"/>
        </w:rPr>
        <w:t>z prądem wyładowczym na jeden biegun 8/20 Iimp 15 kA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17.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AC B+C z prądem udarowym na jeden biegun 10/350 Iimp 6kA?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Zgodnie z </w:t>
      </w:r>
      <w:r>
        <w:rPr>
          <w:rFonts w:ascii="Calibri" w:hAnsi="Calibri" w:cs="Liberation Serif"/>
          <w:color w:val="auto"/>
          <w:sz w:val="21"/>
          <w:szCs w:val="21"/>
        </w:rPr>
        <w:t>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AC B+C z prądem wyładowczym na jeden biegun 8/20 Imax 50 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</w:t>
      </w:r>
      <w:r>
        <w:rPr>
          <w:rFonts w:ascii="Calibri" w:hAnsi="Calibri"/>
          <w:color w:val="auto"/>
          <w:sz w:val="21"/>
          <w:szCs w:val="21"/>
        </w:rPr>
        <w:t>rzepięć DC B+C z znamionowym prądem wyładowczym 10/350 / 1 bieg mniejszym niż 12,5kA.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17.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dopuści użycie ochronników przepięć AC B+C z parametrem największego prądu wyładowczego lub pr</w:t>
      </w:r>
      <w:r>
        <w:rPr>
          <w:rFonts w:ascii="Calibri" w:hAnsi="Calibri"/>
          <w:color w:val="auto"/>
          <w:sz w:val="21"/>
          <w:szCs w:val="21"/>
        </w:rPr>
        <w:t>ądu udarowego 50kA?</w:t>
      </w:r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przewiduje roboty dodatkowe dotyczące poprawienia wadliwej instalacji mieszkańców?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bCs/>
          <w:color w:val="auto"/>
          <w:sz w:val="21"/>
          <w:szCs w:val="21"/>
        </w:rPr>
        <w:t>Zamawiający nie przewiduje robót dodatkowych.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> </w:t>
      </w:r>
      <w:r>
        <w:rPr>
          <w:rFonts w:ascii="Calibri" w:hAnsi="Calibri" w:cs="Liberation Serif"/>
          <w:bCs/>
          <w:color w:val="auto"/>
          <w:sz w:val="21"/>
          <w:szCs w:val="21"/>
        </w:rPr>
        <w:t>Szczegółowe uregulow</w:t>
      </w:r>
      <w:r>
        <w:rPr>
          <w:rFonts w:ascii="Calibri" w:hAnsi="Calibri" w:cs="Liberation Serif"/>
          <w:bCs/>
          <w:color w:val="auto"/>
          <w:sz w:val="21"/>
          <w:szCs w:val="21"/>
        </w:rPr>
        <w:t>ania dotyczące naprawy i serwisu opisane zostały we wzorze karty gwarancyjnej.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będzie wymagał od Wykonawcy oświadczenia producenta inwerterów że w urządzeniu nie będą występowały uszkodzenia na prądy stałe?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Inwertery mu</w:t>
      </w:r>
      <w:r>
        <w:rPr>
          <w:rFonts w:ascii="Calibri" w:hAnsi="Calibri" w:cs="Liberation Serif"/>
          <w:color w:val="auto"/>
          <w:sz w:val="21"/>
          <w:szCs w:val="21"/>
        </w:rPr>
        <w:t>szą posiadać dokumenty i spełniać wszelkie niezbędne parametry wymagane przepisami prawa oraz wymaganiami dostawcy energii.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Czy, jeśli, dokumentacja przetargowa nie określa szczegółowych parametrów ochronników AC, ochronników DC, wyłączników różni</w:t>
      </w:r>
      <w:r>
        <w:rPr>
          <w:rFonts w:ascii="Calibri" w:hAnsi="Calibri"/>
          <w:color w:val="auto"/>
          <w:sz w:val="21"/>
          <w:szCs w:val="21"/>
        </w:rPr>
        <w:t>cowoprądowych, Zamawiający będzie polegał na wiedzy i doświadczeniu Wykonawcy?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Zgodnie z odpowiedzią na pytanie nr 16, 17, 11. Wykonawca ma wykonać zamówienie zgodnie z dokumentacja przetargową, sztuką budowlaną wiedzą i doświadczeniem. Wszystki</w:t>
      </w:r>
      <w:r>
        <w:rPr>
          <w:rFonts w:ascii="Calibri" w:hAnsi="Calibri" w:cs="Liberation Serif"/>
          <w:color w:val="auto"/>
          <w:sz w:val="21"/>
          <w:szCs w:val="21"/>
        </w:rPr>
        <w:t xml:space="preserve">e nie określone szczegóły będą ustalane na bieżąco podczas realizacji zamówienia z Inspektorem Nadzoru. Zalecenia i ustalenia Inspektora Nadzoru są wiążące dla Wykonawcy.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 potwierdza Zamawiający, że  dostęp do Internetu dotyczący komunikacji </w:t>
      </w:r>
      <w:r>
        <w:rPr>
          <w:rFonts w:ascii="Calibri" w:hAnsi="Calibri"/>
          <w:color w:val="auto"/>
          <w:sz w:val="21"/>
          <w:szCs w:val="21"/>
        </w:rPr>
        <w:t>i wizualizacji zapewnia mieszkaniec/ użytkownik  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/>
          <w:color w:val="auto"/>
          <w:sz w:val="21"/>
          <w:szCs w:val="21"/>
        </w:rPr>
        <w:t xml:space="preserve">Mieszkaniec/użytkownik zapewnia dostęp do sieci internetowej natomiast po stronie Wykonawcy jest ewentualne wzmocnienie tego sygnału i uruchomienie komunikacji i wizualizacji o ile są takie </w:t>
      </w:r>
      <w:r>
        <w:rPr>
          <w:rFonts w:ascii="Calibri" w:hAnsi="Calibri"/>
          <w:color w:val="auto"/>
          <w:sz w:val="21"/>
          <w:szCs w:val="21"/>
        </w:rPr>
        <w:t>możliwości techniczne.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dopuszcza moduły monokrystaliczne spełniające wymogi projektu i SIWZ?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Zamawiający dopuszcza moduły fotowoltaiczne o obciążalności mechanicznej na śnieg do </w:t>
      </w:r>
      <w:r>
        <w:rPr>
          <w:rFonts w:ascii="Calibri" w:hAnsi="Calibri"/>
          <w:color w:val="auto"/>
          <w:sz w:val="21"/>
          <w:szCs w:val="21"/>
        </w:rPr>
        <w:t>5400 Pa oraz na wiatr do 2400 Pa zgodnie z obowiązującymi normami?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Prosimy o potwierdzenie, że w razie konieczności wykonania instalacji odgromowej koszt wykonania leży po stronie Beneficjenta.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W p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rzypadkach określonych w S</w:t>
      </w:r>
      <w:r>
        <w:rPr>
          <w:rFonts w:ascii="Calibri" w:hAnsi="Calibri" w:cs="Liberation Serif"/>
          <w:color w:val="auto"/>
          <w:sz w:val="21"/>
          <w:szCs w:val="21"/>
        </w:rPr>
        <w:t>IWZ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wykonanie instalacji odgromowej leży po stronie Wykonawcy (dot. części I i II).  W pozostałych przypadkach nie przewiduje się wykonania/modernizacji tej instalacji.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Co w przypadku, gdy istniejąca już instalacja odgrom</w:t>
      </w:r>
      <w:r>
        <w:rPr>
          <w:rFonts w:ascii="Calibri" w:hAnsi="Calibri"/>
          <w:color w:val="auto"/>
          <w:sz w:val="21"/>
          <w:szCs w:val="21"/>
        </w:rPr>
        <w:t>owa będzie kolidować z montażem modułów fotowoltaicznych? Po czyjej wówczas stronie leży ewentualna przebudowa instalacji odgromowej?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nie przewiduje przebudowy instalacji odgromowej.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Prosimy o podanie liczby budynków posiada</w:t>
      </w:r>
      <w:r>
        <w:rPr>
          <w:rFonts w:ascii="Calibri" w:hAnsi="Calibri"/>
          <w:color w:val="auto"/>
          <w:sz w:val="21"/>
          <w:szCs w:val="21"/>
        </w:rPr>
        <w:t>jących instalację odgromową oraz wskazanie, gdzie wymagana jest jej przebudowa.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 </w:t>
      </w:r>
      <w:r>
        <w:rPr>
          <w:rFonts w:ascii="Calibri" w:hAnsi="Calibri" w:cs="Liberation Serif"/>
          <w:color w:val="auto"/>
          <w:sz w:val="21"/>
          <w:szCs w:val="21"/>
        </w:rPr>
        <w:t>Zamawiający nie przewiduje przebudowy instalacji odgromowej.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dopuszcza moduły o wymiarach 1640x992mm+- oraz grubości ramki 35+- 5 mm?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</w:t>
      </w: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Tak, Zamawiający dopuszcza.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Zamawiający wymaga zapewnienia systemu monitoringu zgodnie z opisem w każdej lokalizacji czy wyłącznie tam, gdzie istnieje łącze internetowe? W przypadku, gdy Beneficjent nie posiada łącza internetowego po </w:t>
      </w:r>
      <w:r>
        <w:rPr>
          <w:rFonts w:ascii="Calibri" w:hAnsi="Calibri"/>
          <w:color w:val="auto"/>
          <w:sz w:val="21"/>
          <w:szCs w:val="21"/>
        </w:rPr>
        <w:t>czyjej stronie leży zapewnienie dostępu do sieci?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>Mieszkaniec/użytkownik zapewnia dostęp do sieci internetowej natomiast po stronie Wykonawcy jest ewentualne wzmocnienie tego sygnału i uruchomienie komunikacji i wizualizacji o ile są takie możli</w:t>
      </w:r>
      <w:r>
        <w:rPr>
          <w:rFonts w:ascii="Calibri" w:hAnsi="Calibri"/>
          <w:color w:val="auto"/>
          <w:sz w:val="21"/>
          <w:szCs w:val="21"/>
        </w:rPr>
        <w:t>wości techniczne.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w przypadku gdy falownik posiada wbudowaną możliwość monitorowania i gromadzenia informacji dotyczących pracy instalacji wymaganą przez zamawiającego konieczne jest zastosowanie dodatkowego modułu LAN opartego o technologię T</w:t>
      </w:r>
      <w:r>
        <w:rPr>
          <w:rFonts w:ascii="Calibri" w:hAnsi="Calibri"/>
          <w:color w:val="auto"/>
          <w:sz w:val="21"/>
          <w:szCs w:val="21"/>
        </w:rPr>
        <w:t>IK?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auto"/>
          <w:spacing w:val="2"/>
          <w:sz w:val="21"/>
          <w:szCs w:val="21"/>
          <w:lang w:eastAsia="pl-PL"/>
        </w:rPr>
        <w:t>Wymagane jest, aby informacje były przetwarzane i przekazywane zgodnie z wytycznymi systemu TIK.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Kto będzie ponosił koszty bezzasadnego wezwania serwisu Wykonawcy w trakcie trwania okresu gwarancji? W szczególności w przypadku wystą</w:t>
      </w:r>
      <w:r>
        <w:rPr>
          <w:rFonts w:ascii="Calibri" w:hAnsi="Calibri"/>
          <w:color w:val="auto"/>
          <w:sz w:val="21"/>
          <w:szCs w:val="21"/>
        </w:rPr>
        <w:t>pienia awarii z winy użytkownika (nie przestrzegania warunków eksploatacji instalacji) lub w sytuacji zadziałania siły wyższej np. uderzenia pioruna, przepięcia instalacji, wyładowań elektrycznych.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Calibri"/>
          <w:color w:val="auto"/>
          <w:sz w:val="21"/>
          <w:szCs w:val="21"/>
        </w:rPr>
        <w:t>Warunki gwarancji oraz siły wyższej określa umo</w:t>
      </w:r>
      <w:r>
        <w:rPr>
          <w:rFonts w:ascii="Calibri" w:hAnsi="Calibri" w:cs="Calibri"/>
          <w:color w:val="auto"/>
          <w:sz w:val="21"/>
          <w:szCs w:val="21"/>
        </w:rPr>
        <w:t xml:space="preserve">wa i karta gwarancyjna, prosimy o dokładne zapoznanie się z załączoną dokumentacją do niniejszego Zamówienia. Zapisy SIWZ pozostają bez zmian. </w:t>
      </w:r>
      <w:r>
        <w:rPr>
          <w:rFonts w:ascii="Calibri" w:hAnsi="Calibri" w:cs="Liberation Serif"/>
          <w:color w:val="auto"/>
          <w:sz w:val="21"/>
          <w:szCs w:val="21"/>
        </w:rPr>
        <w:t xml:space="preserve">Warunki eksploatacji będą określone w instrukcji obsługi instalacji i zatwierdzone przez Zamawiającego.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>Pytanie:</w:t>
      </w: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 </w:t>
      </w:r>
      <w:r>
        <w:rPr>
          <w:rFonts w:ascii="Calibri" w:hAnsi="Calibri"/>
          <w:color w:val="auto"/>
          <w:sz w:val="21"/>
          <w:szCs w:val="21"/>
        </w:rPr>
        <w:t>Czy Zamawiający potwierdza użycie optymalizatorów mocy dla instalacji fotowoltaicznych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Zamawiający nie potwierdza.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Dokumentacja w świetle obowiązujących przepisów przed realizacją  tj. na schemacie  ma być uzgodniona z Rzeczozna</w:t>
      </w:r>
      <w:r>
        <w:rPr>
          <w:rFonts w:ascii="Calibri" w:hAnsi="Calibri"/>
          <w:color w:val="auto"/>
          <w:sz w:val="21"/>
          <w:szCs w:val="21"/>
        </w:rPr>
        <w:t>wcą P-poż - proszę o potwierdzenie, że koszt pokrywa Mieszkaniec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Nie ma konieczności uzgadniania dokumentacji w zakresie mocy przewidzianej w projekcie.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W świetle obowiązujących przepisów zmienia się funkcja dachu i rzeczoznawca nakaz</w:t>
      </w:r>
      <w:r>
        <w:rPr>
          <w:rFonts w:ascii="Calibri" w:hAnsi="Calibri"/>
          <w:color w:val="auto"/>
          <w:sz w:val="21"/>
          <w:szCs w:val="21"/>
        </w:rPr>
        <w:t>uje wykonanie instalacji odgromowej dla takiej instalacji powyżej 6,5 kW - proszę o potwierdzenie, że koszt pokrywa Mieszkaniec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Proszę o dokładne zapoznanie się z mocami instalacji PV przewidzianymi w niniejszym zamówieniu. Zamawiający nie prz</w:t>
      </w:r>
      <w:r>
        <w:rPr>
          <w:rFonts w:ascii="Calibri" w:hAnsi="Calibri" w:cs="Liberation Serif"/>
          <w:color w:val="auto"/>
          <w:sz w:val="21"/>
          <w:szCs w:val="21"/>
        </w:rPr>
        <w:t>ewiduję instalacji powyżej 6,5 kW. Wszelkie czynności i materiały niezbędne do prawidłowego uruchomienia instalacji i jej eksploatacji należą do Wykonawcy.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W świetle obowiązujących przepisów Rzeczoznawca p-poż dla instalacji powyżej 6,5 kW nakazuj</w:t>
      </w:r>
      <w:r>
        <w:rPr>
          <w:rFonts w:ascii="Calibri" w:hAnsi="Calibri"/>
          <w:color w:val="auto"/>
          <w:sz w:val="21"/>
          <w:szCs w:val="21"/>
        </w:rPr>
        <w:t>e wykonanie instalacji p-poż z wyłącznikiem WPW [ROP] odcinający Napięcie po stronie DC- prądu stałego - proszę o potwierdzenie ,że koszt pokrywa Mieszkaniec.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Proszę o dokładne zapoznanie się z mocami instalacji PV przewidzianymi w niniejszym za</w:t>
      </w:r>
      <w:r>
        <w:rPr>
          <w:rFonts w:ascii="Calibri" w:hAnsi="Calibri" w:cs="Liberation Serif"/>
          <w:color w:val="auto"/>
          <w:sz w:val="21"/>
          <w:szCs w:val="21"/>
        </w:rPr>
        <w:t>mówieniu. Zamawiający nie przewiduję instalacji powyżej 6,5 kW. Wszelkie czynności i materiały niezbędne do prawidłowego uruchomienia instalacji i jej eksploatacji należą do Wykonawcy.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W świetle obowiązujących przepisów kto wysyła zawiadomienie do</w:t>
      </w:r>
      <w:r>
        <w:rPr>
          <w:rFonts w:ascii="Calibri" w:hAnsi="Calibri"/>
          <w:color w:val="auto"/>
          <w:sz w:val="21"/>
          <w:szCs w:val="21"/>
        </w:rPr>
        <w:t xml:space="preserve"> Państwowej Straży Pożarnej  - proszę o potwierdzenie, że zawiadamia Zamawiający.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Proszę o dokładne zapoznanie się z mocami instalacji PV przewidzianymi w niniejszym zamówieniu. Zamawiający nie przewiduję instalacji powyżej 6,5 kW. Wszelkie czynności i materiały niezbędne do prawidłowego uruchomienia instalacji i jej eksploatacji należ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ą do Wykonawcy.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 xml:space="preserve">Prosimy o informację czy Zamawiający wymaga, aby moduły posiadały </w:t>
      </w:r>
      <w:r>
        <w:rPr>
          <w:rFonts w:ascii="Calibri" w:hAnsi="Calibri"/>
          <w:color w:val="auto"/>
          <w:sz w:val="21"/>
          <w:szCs w:val="21"/>
        </w:rPr>
        <w:t>certyfikat miejsca produkcji na terenie Unii Europejskiej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Zamawiający nie stawia takich wymagań.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>Kto pokrywa koszt połączenia między falowniki</w:t>
      </w:r>
      <w:r>
        <w:rPr>
          <w:rFonts w:ascii="Calibri" w:hAnsi="Calibri" w:cs="Liberation Serif"/>
          <w:color w:val="auto"/>
          <w:sz w:val="21"/>
          <w:szCs w:val="21"/>
        </w:rPr>
        <w:t xml:space="preserve">em a rozdzielnią </w:t>
      </w:r>
      <w:r>
        <w:rPr>
          <w:rFonts w:ascii="Calibri" w:hAnsi="Calibri"/>
          <w:color w:val="auto"/>
          <w:sz w:val="21"/>
          <w:szCs w:val="21"/>
        </w:rPr>
        <w:t>główną w sytuacji gdy falownik zostanie umieszczony w budynku gospodarczym, a rozdzielnia główna jest w budynku mieszkalnym – trzeba wykopać i ułożyć przewód ziemny w rurze arot wraz z przewodem uziemiającym (bednarka) pomiędzy budynkami n</w:t>
      </w:r>
      <w:r>
        <w:rPr>
          <w:rFonts w:ascii="Calibri" w:hAnsi="Calibri"/>
          <w:color w:val="auto"/>
          <w:sz w:val="21"/>
          <w:szCs w:val="21"/>
        </w:rPr>
        <w:t>a głębokość 50cm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informuje, iż nie ma konieczności układania bednarki pomiędzy budynkami mieszkalnym i gospodarczym. W przypadku konieczności doprowadzenia przewodu AC do budynku gospodarczego takie czynności będą leżały w gestii U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żytkownika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w ramach przedmiotowego postępowania występują budynki mieszkalne o powierzchni przekraczającej 300m</w:t>
      </w:r>
      <w:r>
        <w:rPr>
          <w:rFonts w:ascii="Calibri" w:hAnsi="Calibri"/>
          <w:color w:val="auto"/>
          <w:sz w:val="21"/>
          <w:szCs w:val="21"/>
          <w:vertAlign w:val="superscript"/>
        </w:rPr>
        <w:t>2</w:t>
      </w:r>
      <w:r>
        <w:rPr>
          <w:rFonts w:ascii="Calibri" w:hAnsi="Calibri"/>
          <w:color w:val="auto"/>
          <w:sz w:val="21"/>
          <w:szCs w:val="21"/>
        </w:rPr>
        <w:t>. Jeśli tak, ile jest takich obiektów i dla której z części zamówienia?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W ramach niniejszego zamówienia nie występują bu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dynki mieszkalne o powierzchni przekraczającej 300 m</w:t>
      </w:r>
      <w:r>
        <w:rPr>
          <w:rFonts w:ascii="Calibri" w:eastAsia="Times New Roman" w:hAnsi="Calibri" w:cs="Liberation Serif"/>
          <w:color w:val="auto"/>
          <w:sz w:val="21"/>
          <w:szCs w:val="21"/>
          <w:vertAlign w:val="superscript"/>
          <w:lang w:eastAsia="pl-PL"/>
        </w:rPr>
        <w:t>2.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Budynki takie mogą wystąpić na etapie realizacji zamówienia w wyniku zmian miejsca lokalizacji.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posiada podpisane umowy z beneficjentami biorącymi udział w programie montażu je</w:t>
      </w:r>
      <w:r>
        <w:rPr>
          <w:rFonts w:ascii="Calibri" w:hAnsi="Calibri"/>
          <w:color w:val="auto"/>
          <w:sz w:val="21"/>
          <w:szCs w:val="21"/>
        </w:rPr>
        <w:t>dnostek OZE na terenie gmin?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posiada umowy podpisane z beneficjentami.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lastRenderedPageBreak/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posiada listę osób (adresatów) rezerwowych na wypadek, gdyby osoby zrezygnowały z uczestnictwa w projekcie, lub montaż instalacji nie był</w:t>
      </w:r>
      <w:r>
        <w:rPr>
          <w:rFonts w:ascii="Calibri" w:hAnsi="Calibri"/>
          <w:color w:val="auto"/>
          <w:sz w:val="21"/>
          <w:szCs w:val="21"/>
        </w:rPr>
        <w:t>by możliwy do wykonania?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posiada listę rezerwową uczestników.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Czy Zamawiający może zagwarantować wykonanie wszystkich instalacji dla poszczególnych części zamówienia, jeśli nie to jaki procent instalacji z poszczególnych czę</w:t>
      </w:r>
      <w:r>
        <w:rPr>
          <w:rFonts w:ascii="Calibri" w:hAnsi="Calibri"/>
          <w:color w:val="auto"/>
          <w:sz w:val="21"/>
          <w:szCs w:val="21"/>
        </w:rPr>
        <w:t>ści zamówienia jest w stanie zagwarantować Zamawiający?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nie może zagwarantować wykonania wszystkich instalacji. Szczególne okoliczności przewidujące taką okoliczność  zawarte są we wzorach umów.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 xml:space="preserve">Czy w zakresie budynków </w:t>
      </w:r>
      <w:r>
        <w:rPr>
          <w:rFonts w:ascii="Calibri" w:hAnsi="Calibri"/>
          <w:color w:val="auto"/>
          <w:sz w:val="21"/>
          <w:szCs w:val="21"/>
        </w:rPr>
        <w:t>zakwalifikowanych do projektu znajdują się budynki będące pod ochroną lub stojące w strefie konserwatora zabytków? Jeśli tak, to ile jest takich budynków i jakich części zamówienia dotyczą?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Brak jest budynków objętych ochroną konserwatorską lub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znajdujących się w strefie konserwatorskiej.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/>
          <w:color w:val="auto"/>
          <w:sz w:val="21"/>
          <w:szCs w:val="21"/>
        </w:rPr>
        <w:t>Prosimy o potwierdzenie, że gwarancja zapłaty wadium w innej formie niż w pieniądzu ma być wystawiona na beneficjenta, którym będzie Gmina Tryńcza – czyli lidera projektu.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Wypełnienie przez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wykonawcę obowiązku wniesienia wadium wobec Lidera Projektu – Gminę Tryńcza jest równoznaczne z wypełnieniem tego obowiązku wobec wszystkich zamawiających działających wspólnie. Zamawiający potwierdza, że wniesienie wadium w innej formie niż pieniądz powin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no być wystawione na Lidera Projektu.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>Czy w ramach spełnienia warunku udziału w postępowaniu Zamawiający uzna warunek za spełniony, jeśli wykonawca wykaże, że w ramach trwającego kontraktu zrealizował (wykonał w sposób należyty) co najmniej 150 in</w:t>
      </w:r>
      <w:r>
        <w:rPr>
          <w:rFonts w:ascii="Calibri" w:hAnsi="Calibri" w:cs="Liberation Serif"/>
          <w:color w:val="auto"/>
          <w:sz w:val="21"/>
          <w:szCs w:val="21"/>
        </w:rPr>
        <w:t xml:space="preserve">stalacji fotowoltaicznych – zgodnie z wymaganiem dla części I oraz co najmniej 100 instalacji fotowoltaicznych zgodnie z wymaganiem dla cz. II i dla potwierdzenia okaże Zamawiającemu protokoły odbiorów częściowych dla w/w ilości zrealizowanych instalacji? </w:t>
      </w:r>
      <w:r>
        <w:rPr>
          <w:rFonts w:ascii="Calibri" w:hAnsi="Calibri" w:cs="Liberation Serif"/>
          <w:color w:val="auto"/>
          <w:sz w:val="21"/>
          <w:szCs w:val="21"/>
        </w:rPr>
        <w:t>Jednocześnie pragniemy zauważyć, że spełnienie warunku udziału w taki sposób jest dopuszczalne w ustawie PZP oraz aktami wykonawczymi do ustawy tj. Rozporządzeniem Ministra Rozwoju z dnia 26.07.2016 r. w sprawie rodzajów dokumentów, jakich może żądać zamaw</w:t>
      </w:r>
      <w:r>
        <w:rPr>
          <w:rFonts w:ascii="Calibri" w:hAnsi="Calibri" w:cs="Liberation Serif"/>
          <w:color w:val="auto"/>
          <w:sz w:val="21"/>
          <w:szCs w:val="21"/>
        </w:rPr>
        <w:t>iający od wykonawcy w postępowaniu o udzielenie zamówienia (paragraf 2 pkt. 4 ppkt 2). Ponadto podnosimy, że w przypadku wielu obecnie trwających zamówień publicznych – tzw. projektów parasolowych wykonawca wykonuje kilkaset lub więcej instalacji PV w trak</w:t>
      </w:r>
      <w:r>
        <w:rPr>
          <w:rFonts w:ascii="Calibri" w:hAnsi="Calibri" w:cs="Liberation Serif"/>
          <w:color w:val="auto"/>
          <w:sz w:val="21"/>
          <w:szCs w:val="21"/>
        </w:rPr>
        <w:t>cie jego trwania, na bieżąco są one odbierane przez Zamawiającego w ramach odbiorów częściowych i w związku z tym wykonawca taki nabiera i dysponuje odpowiednią wiedza i doświadczeniem. W związku z powyższym wnosimy jak na wstępie.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>Zamawiający i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>nformuje, że na bieżącym etapie postępowania nie będzie potwierdzał spełniania warunków udziału w postępowaniu przez Wykonawców. Badanie i ocenę ofert w tym zakresie Zamawiający przeprowadzi po upływie terminu składania i otwarcia ofert na podstawie załącz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onych do ofert oświadczeń i złożonych na wezwanie dokumentów. Ponadto Zamawiający informuje, że par. 2 pkt 4 ppkt 2) 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000000"/>
          <w:spacing w:val="2"/>
          <w:sz w:val="21"/>
          <w:szCs w:val="21"/>
          <w:lang w:eastAsia="pl-PL"/>
        </w:rPr>
        <w:t>wymienionego Rozporządzenia posługuje się pojęciem „wykonywanych dostaw”, ale dotyczy to świadczeń okresowych lub ciągłych, a dostawy okreś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000000"/>
          <w:spacing w:val="2"/>
          <w:sz w:val="21"/>
          <w:szCs w:val="21"/>
          <w:lang w:eastAsia="pl-PL"/>
        </w:rPr>
        <w:t>lone w niniejszym postępowaniu nie są takimi świadczeniami.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highlight w:val="darkCyan"/>
          <w:lang w:eastAsia="pl-PL"/>
        </w:rPr>
        <w:t xml:space="preserve">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>Prosimy o potwierdzenie, że Zamawiający nie będzie wymagał podania nazwy firmy podwykonawcy, na zasobach którego Wykonawca nie będzie polegał z uwagi na fakt, że w tego typu postępowania</w:t>
      </w:r>
      <w:r>
        <w:rPr>
          <w:rFonts w:ascii="Calibri" w:hAnsi="Calibri" w:cs="Liberation Serif"/>
          <w:color w:val="auto"/>
          <w:sz w:val="21"/>
          <w:szCs w:val="21"/>
        </w:rPr>
        <w:t>ch na montaż jednostek OZE dla dużej ilości obiegów podwykonawcy na etapie składania ofert nie są znani.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lastRenderedPageBreak/>
        <w:t>Odpowiedź: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 Zamawiający na etapie składania oferty nie żąda wskazania podania informacji dotyczących imion i nazwisk (f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irm) podwykonawców chyba, że są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one znane Wykonawcy. Zamawiający żąda ujawnienia informacji dotyczących imion i nazwisk (firm) podwykonawców w trakcie realizacji zamówienia, ale zgodnie z dyspozycją art. 36b ust. 1 ustawy Pzp nie zobowiązuje wykonawców do ich wskazania na etapie składani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a ofert.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auto"/>
        </w:rPr>
      </w:pPr>
      <w:r>
        <w:rPr>
          <w:rFonts w:ascii="Calibri" w:eastAsia="Times New Roman" w:hAnsi="Calibri" w:cs="Calibri"/>
          <w:b/>
          <w:bCs/>
          <w:color w:val="auto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auto"/>
          <w:sz w:val="21"/>
          <w:szCs w:val="21"/>
        </w:rPr>
        <w:t xml:space="preserve">Prosimy o potwierdzenie, że w ramach wymagań dla urządzeń – modułów fotowoltaicznych w warunkach STC parametry podane dla współczynników temperaturowych Pmax Isc oraz Voc powinny być określone jako wartości maksymalne (Max) do wartości tych współczynników </w:t>
      </w:r>
      <w:r>
        <w:rPr>
          <w:rFonts w:ascii="Calibri" w:hAnsi="Calibri" w:cs="Liberation Serif"/>
          <w:color w:val="auto"/>
          <w:sz w:val="21"/>
          <w:szCs w:val="21"/>
        </w:rPr>
        <w:t xml:space="preserve">wskazanych w tabeli w dokumentacji projektowej. Zapis Min. przed wartością sugerować może, że warunek zostanie spełniony dla wskaźników temperaturowych wyższych lub równych zamieszczonym wartościom w tabeli, czyli tak </w:t>
      </w:r>
      <w:r>
        <w:rPr>
          <w:rFonts w:ascii="Calibri" w:hAnsi="Calibri" w:cs="Liberation Serif"/>
          <w:color w:val="000000"/>
          <w:sz w:val="21"/>
          <w:szCs w:val="21"/>
        </w:rPr>
        <w:t>naprawdę gorszej jakości modułom. Wart</w:t>
      </w:r>
      <w:r>
        <w:rPr>
          <w:rFonts w:ascii="Calibri" w:hAnsi="Calibri" w:cs="Liberation Serif"/>
          <w:color w:val="000000"/>
          <w:sz w:val="21"/>
          <w:szCs w:val="21"/>
        </w:rPr>
        <w:t>ości tych współczynników są tym lepsze im ich wartości są mniejsze.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000000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 Zamawiający zmienia wymagania z Min na Max dla wartości współczynników temperaturowych Pmax Isc oraz Voc określonych w dokumentacji projektowej. 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  <w:rPr>
          <w:color w:val="800000"/>
        </w:rPr>
      </w:pPr>
      <w:r>
        <w:rPr>
          <w:rFonts w:ascii="Calibri" w:eastAsia="Times New Roman" w:hAnsi="Calibri" w:cs="Calibri"/>
          <w:b/>
          <w:bCs/>
          <w:color w:val="800000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800000"/>
          <w:sz w:val="21"/>
          <w:szCs w:val="21"/>
        </w:rPr>
        <w:t>Prosimy o potwierdzeni</w:t>
      </w:r>
      <w:r>
        <w:rPr>
          <w:rFonts w:ascii="Calibri" w:hAnsi="Calibri" w:cs="Liberation Serif"/>
          <w:color w:val="800000"/>
          <w:sz w:val="21"/>
          <w:szCs w:val="21"/>
        </w:rPr>
        <w:t xml:space="preserve">e, że w ramach dokumentów wymaganych na wezwanie Zamawiającego dot. złożenia karty modułu wraz z certyfikatem IEC 61215, IEC 61730 oraz UL 1703 Zamawiający nie będzie wymagał złożenia certyfikatu UL 1703, ponieważ naszym zdaniem wymaganie tego certyfikatu </w:t>
      </w:r>
      <w:r>
        <w:rPr>
          <w:rFonts w:ascii="Calibri" w:hAnsi="Calibri" w:cs="Liberation Serif"/>
          <w:color w:val="800000"/>
          <w:sz w:val="21"/>
          <w:szCs w:val="21"/>
        </w:rPr>
        <w:t>u nas w kraju jest bezzasadne. Certyfikat ten jest wymagany dla modułów stosowanych na rynku amerykańskim i kanadyjskim natomiast w UE wymagane są certyfikaty IEC61215 i IEC 61730.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800000"/>
        </w:rPr>
      </w:pPr>
      <w:r>
        <w:rPr>
          <w:rFonts w:ascii="Calibri" w:eastAsia="Times New Roman" w:hAnsi="Calibri" w:cs="Liberation Serif"/>
          <w:b/>
          <w:bCs/>
          <w:color w:val="800000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800000"/>
          <w:sz w:val="21"/>
          <w:szCs w:val="21"/>
          <w:lang w:eastAsia="pl-PL"/>
        </w:rPr>
        <w:t xml:space="preserve">Zamawiający odstępuje od żądania certyfikatu UL 1703. Zmianie </w:t>
      </w:r>
      <w:r>
        <w:rPr>
          <w:rFonts w:ascii="Calibri" w:eastAsia="Times New Roman" w:hAnsi="Calibri" w:cs="Liberation Serif"/>
          <w:color w:val="800000"/>
          <w:sz w:val="21"/>
          <w:szCs w:val="21"/>
          <w:lang w:eastAsia="pl-PL"/>
        </w:rPr>
        <w:t>ulegają zapis pkt. 8.2.1.2. oraz 8.2.2.2., SIWZ które otrzymują brzmienie:</w:t>
      </w:r>
    </w:p>
    <w:p w:rsidR="00AC1AA2" w:rsidRDefault="00EF0242">
      <w:pPr>
        <w:widowControl w:val="0"/>
        <w:spacing w:after="57" w:line="276" w:lineRule="auto"/>
        <w:ind w:left="777"/>
        <w:jc w:val="both"/>
        <w:rPr>
          <w:rFonts w:hint="eastAsia"/>
          <w:color w:val="800000"/>
        </w:rPr>
      </w:pPr>
      <w:r>
        <w:rPr>
          <w:rFonts w:ascii="Calibri" w:eastAsia="Times New Roman" w:hAnsi="Calibri" w:cs="Liberation Serif"/>
          <w:iCs/>
          <w:color w:val="800000"/>
          <w:sz w:val="21"/>
          <w:szCs w:val="21"/>
          <w:lang w:eastAsia="pl-PL" w:bidi="ar-SA"/>
        </w:rPr>
        <w:t>„8.2.1.2. certyfikat potwierdzający zgodność modułu PV z normą IEC 61215, IEC 61730 lub normami równoważnymi wydanymi przez jednostkę oceniającą zgodność zgodnie z art. 30b ust. 1 P</w:t>
      </w:r>
      <w:r>
        <w:rPr>
          <w:rFonts w:ascii="Calibri" w:eastAsia="Times New Roman" w:hAnsi="Calibri" w:cs="Liberation Serif"/>
          <w:iCs/>
          <w:color w:val="800000"/>
          <w:sz w:val="21"/>
          <w:szCs w:val="21"/>
          <w:lang w:eastAsia="pl-PL" w:bidi="ar-SA"/>
        </w:rPr>
        <w:t>zp.”</w:t>
      </w:r>
    </w:p>
    <w:p w:rsidR="00AC1AA2" w:rsidRDefault="00EF0242">
      <w:pPr>
        <w:widowControl w:val="0"/>
        <w:spacing w:after="227" w:line="276" w:lineRule="auto"/>
        <w:ind w:left="777"/>
        <w:jc w:val="both"/>
        <w:rPr>
          <w:rFonts w:hint="eastAsia"/>
          <w:color w:val="800000"/>
        </w:rPr>
      </w:pPr>
      <w:r>
        <w:rPr>
          <w:rFonts w:ascii="Calibri" w:eastAsia="Times New Roman" w:hAnsi="Calibri" w:cs="Liberation Serif"/>
          <w:iCs/>
          <w:color w:val="800000"/>
          <w:sz w:val="21"/>
          <w:szCs w:val="21"/>
          <w:lang w:eastAsia="pl-PL" w:bidi="ar-SA"/>
        </w:rPr>
        <w:t>„8.2.2.2. certyfikat potwierdzający zgodność modułu PV z normą IEC 61215, IEC 61730 lub normami równoważnymi wydanymi przez jednostkę oceniającą zgodność zgodnie z art. 30b ust. 1 Pzp.”</w:t>
      </w:r>
    </w:p>
    <w:p w:rsidR="00AC1AA2" w:rsidRDefault="00EF0242">
      <w:pPr>
        <w:pStyle w:val="Normalny1"/>
        <w:numPr>
          <w:ilvl w:val="0"/>
          <w:numId w:val="1"/>
        </w:numPr>
        <w:spacing w:after="60" w:line="276" w:lineRule="auto"/>
        <w:ind w:left="737" w:hanging="680"/>
        <w:jc w:val="both"/>
      </w:pPr>
      <w:r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/>
        </w:rPr>
        <w:t xml:space="preserve">Pytanie: </w:t>
      </w:r>
      <w:r>
        <w:rPr>
          <w:rFonts w:ascii="Calibri" w:hAnsi="Calibri" w:cs="Liberation Serif"/>
          <w:color w:val="000000"/>
          <w:sz w:val="21"/>
          <w:szCs w:val="21"/>
        </w:rPr>
        <w:t xml:space="preserve">Prosimy o potwierdzenie, że Zamawiający nie będzie </w:t>
      </w:r>
      <w:r>
        <w:rPr>
          <w:rFonts w:ascii="Calibri" w:hAnsi="Calibri" w:cs="Liberation Serif"/>
          <w:color w:val="000000"/>
          <w:sz w:val="21"/>
          <w:szCs w:val="21"/>
        </w:rPr>
        <w:t>wymagał zastosowania falowników z możliwością zdalnego wyłączenia zgodnie z obowiązującymi wymaganiami operatora sieci energetycznej PGE Dystrybucja S.A. dla instalacji fotowoltaicznej o mocy do 10kW operator nie stawia takich wymagań i są one bezzasadne o</w:t>
      </w:r>
      <w:r>
        <w:rPr>
          <w:rFonts w:ascii="Calibri" w:hAnsi="Calibri" w:cs="Liberation Serif"/>
          <w:color w:val="000000"/>
          <w:sz w:val="21"/>
          <w:szCs w:val="21"/>
        </w:rPr>
        <w:t>raz ograniczają konkurencje dostępnych produktów na rynku. Poniżej tabela z wymaganiami operatora dla instalacji fotowoltaicznych: Tabela nr 2. Zbiorcze zestawienie wymagań dla mikroinstalacji w zależności od mocy zainstalowanej.</w:t>
      </w:r>
    </w:p>
    <w:p w:rsidR="00AC1AA2" w:rsidRDefault="00AC1AA2">
      <w:pPr>
        <w:pStyle w:val="Normalny1"/>
        <w:spacing w:after="60" w:line="276" w:lineRule="auto"/>
        <w:ind w:left="737" w:hanging="680"/>
        <w:jc w:val="both"/>
        <w:rPr>
          <w:rFonts w:ascii="Calibri" w:hAnsi="Calibri"/>
          <w:color w:val="auto"/>
          <w:sz w:val="21"/>
          <w:szCs w:val="21"/>
        </w:rPr>
      </w:pPr>
    </w:p>
    <w:tbl>
      <w:tblPr>
        <w:tblW w:w="8925" w:type="dxa"/>
        <w:tblInd w:w="836" w:type="dxa"/>
        <w:tblCellMar>
          <w:top w:w="55" w:type="dxa"/>
          <w:left w:w="5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26"/>
        <w:gridCol w:w="1125"/>
        <w:gridCol w:w="1050"/>
        <w:gridCol w:w="324"/>
        <w:gridCol w:w="2100"/>
      </w:tblGrid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2"/>
                <w:szCs w:val="22"/>
              </w:rPr>
              <w:t>P</w:t>
            </w:r>
            <w:r>
              <w:rPr>
                <w:rFonts w:ascii="Calibri" w:eastAsia="Arial Unicode MS" w:hAnsi="Calibri" w:cs="Times New Roman"/>
                <w:sz w:val="22"/>
                <w:szCs w:val="22"/>
                <w:vertAlign w:val="subscript"/>
              </w:rPr>
              <w:t>n</w:t>
            </w:r>
            <w:r>
              <w:rPr>
                <w:rFonts w:ascii="Calibri" w:eastAsia="Arial Unicode MS" w:hAnsi="Calibri" w:cs="Times New Roman"/>
                <w:sz w:val="22"/>
                <w:szCs w:val="22"/>
              </w:rPr>
              <w:t xml:space="preserve"> [kW]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2"/>
                <w:szCs w:val="22"/>
              </w:rPr>
              <w:t>P</w:t>
            </w:r>
            <w:r>
              <w:rPr>
                <w:rFonts w:ascii="Calibri" w:eastAsia="Arial Unicode MS" w:hAnsi="Calibri" w:cs="Times New Roman"/>
                <w:sz w:val="22"/>
                <w:szCs w:val="22"/>
                <w:vertAlign w:val="subscript"/>
              </w:rPr>
              <w:t>n</w:t>
            </w:r>
            <w:r>
              <w:rPr>
                <w:rFonts w:ascii="Calibri" w:eastAsia="Arial Unicode MS" w:hAnsi="Calibri" w:cs="Times New Roman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≤</w:t>
            </w:r>
            <w:r>
              <w:rPr>
                <w:rFonts w:ascii="Calibri" w:eastAsia="Arial Unicode MS" w:hAnsi="Calibri" w:cs="Times New Roman"/>
                <w:sz w:val="22"/>
                <w:szCs w:val="22"/>
              </w:rPr>
              <w:t xml:space="preserve"> 3,68</w:t>
            </w:r>
          </w:p>
        </w:tc>
        <w:tc>
          <w:tcPr>
            <w:tcW w:w="1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2"/>
                <w:szCs w:val="22"/>
              </w:rPr>
              <w:t>3,68 &lt;</w:t>
            </w:r>
            <w:r>
              <w:rPr>
                <w:rFonts w:ascii="Calibri" w:eastAsia="Arial Unicode MS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>P</w:t>
            </w:r>
            <w:r>
              <w:rPr>
                <w:rFonts w:ascii="Calibri" w:eastAsia="Arial Unicode MS" w:hAnsi="Calibri" w:cs="Times New Roman"/>
                <w:sz w:val="21"/>
                <w:szCs w:val="21"/>
                <w:vertAlign w:val="subscript"/>
              </w:rPr>
              <w:t>n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≤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 10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2"/>
                <w:szCs w:val="22"/>
              </w:rPr>
              <w:t>10 &lt;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>P</w:t>
            </w:r>
            <w:r>
              <w:rPr>
                <w:rFonts w:ascii="Calibri" w:eastAsia="Arial Unicode MS" w:hAnsi="Calibri" w:cs="Times New Roman"/>
                <w:sz w:val="21"/>
                <w:szCs w:val="21"/>
                <w:vertAlign w:val="subscript"/>
              </w:rPr>
              <w:t>n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≤ 50</w:t>
            </w:r>
          </w:p>
        </w:tc>
      </w:tr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Wymagania w zakresie zdalnego sterowania przez PGE Dystrybucja S.A.</w:t>
            </w:r>
          </w:p>
        </w:tc>
        <w:tc>
          <w:tcPr>
            <w:tcW w:w="2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C1AA2" w:rsidRDefault="00AC1AA2">
            <w:pPr>
              <w:pStyle w:val="Zawartotabeli"/>
              <w:rPr>
                <w:rFonts w:ascii="Calibri" w:eastAsia="Arial Unicode MS" w:hAnsi="Calibri" w:cs="Times New Roman"/>
                <w:sz w:val="21"/>
                <w:szCs w:val="21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Możliwość zdalnego sterowania mocą czynna oraz możliwość zdalnego odłączenia mikroinstalacji tj. zaprzestania generacji mocy do sieci dystrybucyjnej</w:t>
            </w:r>
          </w:p>
        </w:tc>
      </w:tr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Automatyczna 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>redukcja mocy czynnej przy f&gt;50,2 Hz wg zadanej charakterystyki P(f)</w:t>
            </w:r>
          </w:p>
        </w:tc>
        <w:tc>
          <w:tcPr>
            <w:tcW w:w="45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TAK</w:t>
            </w:r>
          </w:p>
        </w:tc>
      </w:tr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Regulacja mocy biernej według zadanej 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lastRenderedPageBreak/>
              <w:t xml:space="preserve">charakterystyki  Q(U) i cos 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>ϕ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 (P)</w:t>
            </w:r>
          </w:p>
        </w:tc>
        <w:tc>
          <w:tcPr>
            <w:tcW w:w="45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lastRenderedPageBreak/>
              <w:t>TAK</w:t>
            </w:r>
          </w:p>
        </w:tc>
      </w:tr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Układ zabezpieczeń: komplet zabezpieczeń nad- i podnapięciowych, nad- i pod częstotliwościowych oraz od </w:t>
            </w:r>
            <w:r>
              <w:rPr>
                <w:rFonts w:ascii="Calibri" w:eastAsia="Arial Unicode MS" w:hAnsi="Calibri" w:cs="Times New Roman"/>
                <w:sz w:val="21"/>
                <w:szCs w:val="21"/>
              </w:rPr>
              <w:t>pracy wyspowej</w:t>
            </w:r>
          </w:p>
        </w:tc>
        <w:tc>
          <w:tcPr>
            <w:tcW w:w="45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Zintegrowany z falownikiem</w:t>
            </w:r>
          </w:p>
        </w:tc>
      </w:tr>
      <w:tr w:rsidR="00AC1AA2"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 xml:space="preserve">Sposób łączenia </w:t>
            </w:r>
          </w:p>
        </w:tc>
        <w:tc>
          <w:tcPr>
            <w:tcW w:w="21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1-fazowo lub 3-fazowo</w:t>
            </w:r>
          </w:p>
        </w:tc>
        <w:tc>
          <w:tcPr>
            <w:tcW w:w="24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C1AA2" w:rsidRDefault="00EF0242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eastAsia="Arial Unicode MS" w:hAnsi="Calibri" w:cs="Times New Roman"/>
                <w:sz w:val="21"/>
                <w:szCs w:val="21"/>
              </w:rPr>
              <w:t>3-fazowo</w:t>
            </w:r>
          </w:p>
        </w:tc>
      </w:tr>
    </w:tbl>
    <w:p w:rsidR="00AC1AA2" w:rsidRDefault="00AC1AA2">
      <w:pPr>
        <w:pStyle w:val="Normalny1"/>
        <w:spacing w:after="227" w:line="276" w:lineRule="auto"/>
        <w:ind w:left="777"/>
        <w:jc w:val="both"/>
        <w:rPr>
          <w:rFonts w:ascii="Calibri" w:hAnsi="Calibri"/>
          <w:color w:val="auto"/>
          <w:sz w:val="21"/>
          <w:szCs w:val="21"/>
        </w:rPr>
      </w:pP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Zamawiający potwierdza.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 w:cs="Liberation Serif"/>
          <w:sz w:val="21"/>
          <w:szCs w:val="21"/>
        </w:rPr>
        <w:t xml:space="preserve">W dokumentacji projektowej wykonawczej dla instalacji o mocy 3,24kW zostały zaprojektowane falowniki o mocy 3kW </w:t>
      </w:r>
      <w:r>
        <w:rPr>
          <w:rFonts w:ascii="Calibri" w:hAnsi="Calibri" w:cs="Liberation Serif"/>
          <w:sz w:val="21"/>
          <w:szCs w:val="21"/>
        </w:rPr>
        <w:t>zarówno 1 jak i 3 fazowe. Prosimy zatem o udzielenie informacji ile jest instalacji 1 fazowych o mocy 3,24 kW a ile jest instalacji 3 fazowych o mocy 3,24 kW.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000000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  Instalacji 1 fazowych o mocy 3,24 kW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jest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0 szt, a instalacji 3 fazowych o mocy 3,24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kW - 355 szt.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 w:cs="Liberation Serif"/>
          <w:sz w:val="21"/>
          <w:szCs w:val="21"/>
        </w:rPr>
        <w:t>Prosimy o wyjaśnienie rozbieżności pomiędzy podanymi normami jakimi powinny odpowiadać falowniki wg tabeli wymagań dla urządzeń z dokumentacji wykonawczej podano zgodność z normami: PN-EN 61000-6-1:2008, PN-EN 61000-6-2/A1:2012, PN-E</w:t>
      </w:r>
      <w:r>
        <w:rPr>
          <w:rFonts w:ascii="Calibri" w:hAnsi="Calibri" w:cs="Liberation Serif"/>
          <w:sz w:val="21"/>
          <w:szCs w:val="21"/>
        </w:rPr>
        <w:t>N50438:2014-02 z kolei dla potwierdzenia parametrów urządzenia do złożenia na wezwanie Zamawiającego wymaga się norm: PN-EN61000-3-2:2007, PN-EN 61000-3-3:2001 oraz PN-EN 50438.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000000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Zamawiający modyfikuje zapisy pkt.8.2.1.3.i 8.2.2.3. SIWZ, które ot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rzymują brzmienie: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„8.2.1.3.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/>
        </w:rPr>
        <w:t xml:space="preserve">certyfikat potwierdzający zgodność inwertera z normą </w:t>
      </w:r>
      <w:r>
        <w:rPr>
          <w:rFonts w:ascii="Calibri" w:eastAsia="ArialMT" w:hAnsi="Calibri" w:cs="Liberation Serif"/>
          <w:iCs/>
          <w:color w:val="000000"/>
          <w:sz w:val="21"/>
          <w:szCs w:val="21"/>
          <w:lang w:eastAsia="ar-SA"/>
        </w:rPr>
        <w:t xml:space="preserve">PN-EN 61000-6-1:2008, PN-EN 61000-6-2/A1:2012, PN-EN50438:2014-02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/>
        </w:rPr>
        <w:t>lub normami równoważnymi wydanymi przez jednostkę oceniającą zgodność zgodnie z art. 30b ust. 1 Pzp,”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ArialMT" w:hAnsi="Calibri" w:cs="Calibri"/>
          <w:iCs/>
          <w:color w:val="000000"/>
          <w:sz w:val="21"/>
          <w:szCs w:val="21"/>
          <w:lang w:eastAsia="ar-SA"/>
        </w:rPr>
        <w:t>„8.2.2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/>
        </w:rPr>
        <w:t xml:space="preserve">.3. certyfikat potwierdzający zgodność inwertera z normą </w:t>
      </w:r>
      <w:r>
        <w:rPr>
          <w:rFonts w:ascii="Calibri" w:eastAsia="ArialMT" w:hAnsi="Calibri" w:cs="Liberation Serif"/>
          <w:iCs/>
          <w:color w:val="000000"/>
          <w:sz w:val="21"/>
          <w:szCs w:val="21"/>
          <w:lang w:eastAsia="ar-SA"/>
        </w:rPr>
        <w:t xml:space="preserve">PN-EN 61000-6-1:2008, PN-EN 61000-6-2/A1:2012, PN-EN50438:2014-02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/>
        </w:rPr>
        <w:t>lub normami równoważnymi wydanymi przez jednostkę oceniającą zgodność zgodnie z art. 30b ust. 1 Pzp,”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 w:cs="Liberation Serif"/>
          <w:sz w:val="21"/>
          <w:szCs w:val="21"/>
        </w:rPr>
        <w:t>Prosimy o ponowne zami</w:t>
      </w:r>
      <w:r>
        <w:rPr>
          <w:rFonts w:ascii="Calibri" w:hAnsi="Calibri" w:cs="Liberation Serif"/>
          <w:sz w:val="21"/>
          <w:szCs w:val="21"/>
        </w:rPr>
        <w:t>eszczenie schematów instalacji w części rysunkowej do dokumentacji wykonawczej – zamieszczone skany są nieczytelne (np. nie można stwierdzić jaki rodzaj zabezpieczeń przewidział projektant w skrzynce DC i AC dla instalacji fotowoltaicznych).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000000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 Za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mawiający nie dysponuje dokumentacja lepszej jakości. Parametry ograniczników przepięć i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bezpiecznika RCD zostały określone w pyt. 11, 16, 17. Po stronie DC należy przewidzieć rozdzielnicę Elektryczną IP65 wraz z rozłącznikami izolacyjnym i bezpiecznikami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topikowymi o charakterystyce gPV oraz ogranicznik przepięć DC zgodnie z pyt. 17. Po stronie AC należy przewidzieć oddzielną skrzynkę elektryczną IP65, ogranicznik przepięć AC, bezpiecznik RCD zgodnie z pytaniami 11 oraz 16 oraz ponadto dobrany bezpiecznik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nadmiarowy zgodnie z wymaganiami inwertera oraz przewodów elektrycznych. Całość powinna być uzgodniona z Inspektorem Nadzoru. Na każdej instalacji wymaga się wykonania uziemienia instalacji PV zgodnie z obowiązującymi przepisami.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 w:cs="Liberation Serif"/>
          <w:sz w:val="21"/>
          <w:szCs w:val="21"/>
        </w:rPr>
        <w:t xml:space="preserve">Prosimy o potwierdzenie, że w przypadku kotłów na biomasę </w:t>
      </w:r>
      <w:r>
        <w:rPr>
          <w:rFonts w:ascii="Calibri" w:hAnsi="Calibri"/>
          <w:sz w:val="21"/>
          <w:szCs w:val="21"/>
        </w:rPr>
        <w:t>to po stronie Mieszkańca jest dostosowanie komina do potrzeb montażu kotła.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potwierdza.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informację, czy w przypadku kotłów na biomasę Zamawiający wymaga od </w:t>
      </w:r>
      <w:r>
        <w:rPr>
          <w:rFonts w:ascii="Calibri" w:hAnsi="Calibri"/>
          <w:sz w:val="21"/>
          <w:szCs w:val="21"/>
        </w:rPr>
        <w:t>Wykonawcy zakupu czopucha?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lang w:eastAsia="pl-PL"/>
        </w:rPr>
        <w:t xml:space="preserve">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Zamawiający potwierdza, iż wymaga zakupu i montażu czopucha od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lastRenderedPageBreak/>
        <w:t xml:space="preserve">Pytanie: </w:t>
      </w:r>
      <w:r>
        <w:rPr>
          <w:rFonts w:ascii="Calibri" w:hAnsi="Calibri"/>
          <w:sz w:val="21"/>
          <w:szCs w:val="21"/>
        </w:rPr>
        <w:t>Prosimy o potwierdzenie, że układ odprowadzenia spalin z kotła leży po stronie Wykonawcy.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Zamawiający potwierdza, układ odp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rowadzania spalin z kotła leży po stronie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Wykonawca nie  ma obowiązku wykonywanie wizji lokalnych  dla lokalizacji przed przystąpieniem do montażu.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Umowa nie przewiduje wizji lokalnych dla lokaliza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cji przed przystąpieniem do montażu, ale przyjętą i dobrą praktyką jest dokonanie wizji w każdym z obiektów przy ustalaniu terminu dostawy i  montażu w konkretnej lokalizacji, które zgodnie z umową mają miejsce na 3 dni przed planowanym montażem. 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: </w:t>
      </w:r>
      <w:r>
        <w:rPr>
          <w:rFonts w:ascii="Calibri" w:hAnsi="Calibri"/>
          <w:sz w:val="21"/>
          <w:szCs w:val="21"/>
        </w:rPr>
        <w:t>Prosimy o potwierdzenie, że obiekty nie są zabytkami ani nie leżą pod ochroną konserwatorską.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Obiekty nie są zabytkami i nie znajdują się w pod ochroną konserwatorską.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informacje na jakim etapie postępowania lub inwestycji W</w:t>
      </w:r>
      <w:r>
        <w:rPr>
          <w:rFonts w:ascii="Calibri" w:hAnsi="Calibri"/>
          <w:sz w:val="21"/>
          <w:szCs w:val="21"/>
        </w:rPr>
        <w:t>ykonawca powinien przedstawić Zamawiającemu potwierdzenie dotyczące zatrudnienia osób na umowę o pracę oraz jakie dokumenty będą wymagane.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Zamawiający nie stawia wymogów w zakresie zatrudnienia na umowę o pracę.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na</w:t>
      </w:r>
      <w:r>
        <w:rPr>
          <w:rFonts w:ascii="Calibri" w:hAnsi="Calibri"/>
          <w:sz w:val="21"/>
          <w:szCs w:val="21"/>
        </w:rPr>
        <w:t xml:space="preserve"> jakim etapie postępowania Zamawiający będzie wymagał przedstawienia kart technicznych i certyfikatów głównych urządzeń wchodzących w skład systemów.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Zgodnie z zapisami SIWZ, Wykonawca, zobowiązany będzie przedłożyć dokumenty, o których mowa w p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kt. 8.2. SIWZ na wezwanie Zamawiającego w celu potwierdzenia okoliczności,o których mowa w art. 25 ust. 1 pkt. 1 oraz 2 ustawy Prawo zamówień publicznych. Pozostałe karty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techniczne i certyfikaty będą składane przez Wykonawcę na etapie akceptacji materiałó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w przez Zamawiającego, przed ich zamówieniem pr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zez Wykonawcę.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wymaga oznakowania instalacji spełniając jakieś wymagania jednostki finansującej? Jeśli tak prosimy o podanie wytycznych w tym zakresie oraz odpowiednią modyfikację form</w:t>
      </w:r>
      <w:r>
        <w:rPr>
          <w:rFonts w:ascii="Calibri" w:hAnsi="Calibri"/>
          <w:sz w:val="21"/>
          <w:szCs w:val="21"/>
        </w:rPr>
        <w:t>ularza ofertowego w celu uwzględnienia tego zakresu w  wycenie. Czy Zamawiający wymaga naklejek czy tabliczek, jakich rozmiarów i z jakiego materiału?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wymaga oznakowania przez Wykonawcę urządzeń. Naklejki powinny być zgodne z wytyczn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ymi właściwego programu operacyjnego. Materiały powinny zostać naklejone/zamieszczone na urządzeniach. Wykonanie naklejek i ich umieszczenie należy do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na dzień podpisania umowy Zamawiający będzie już posiadał</w:t>
      </w:r>
      <w:r>
        <w:rPr>
          <w:rFonts w:ascii="Calibri" w:hAnsi="Calibri"/>
          <w:sz w:val="21"/>
          <w:szCs w:val="21"/>
        </w:rPr>
        <w:t xml:space="preserve"> kompletną listę z minimum 90% uczestnikami, u których będzie montaż kolektorów słonecznych i instalacji fotowoltaicznych.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Zamawiający posiada listę uczestników, u których będzie montaż kolektorów słonecznych i instalacji fotowoltaicznych.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 że do obowiązków mieszkańca jest doprowadzenie rur ciepłej wody użytkowej, centralnego ogrzewania i zimnej wody do miejsca montażu instalacji oraz zainstalowanie podwójnego gniazda elektrycznego zabezpieczone zgodnie z prze</w:t>
      </w:r>
      <w:r>
        <w:rPr>
          <w:rFonts w:ascii="Calibri" w:hAnsi="Calibri"/>
          <w:sz w:val="21"/>
          <w:szCs w:val="21"/>
        </w:rPr>
        <w:t>pisami oraz z poprawnie wykonanym uziemieniem.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Do obowiązków Wykonawcy należy doprowadzenie rur ciepłej wody użytkowej, centralnego ogrzewania i zimnej wody. Zapewnienie sprawnego i prawidłowego gniazda elektrycznego należy do Użytkownika.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lastRenderedPageBreak/>
        <w:t>Pyta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nie: </w:t>
      </w:r>
      <w:r>
        <w:rPr>
          <w:rFonts w:ascii="Calibri" w:hAnsi="Calibri"/>
          <w:sz w:val="21"/>
          <w:szCs w:val="21"/>
        </w:rPr>
        <w:t>Prosimy o potwierdzenie, że w przypadku rezygnacji w udziału w projekcie Beneficjentów w końcowym etapie prac rozważanym może być wydłużenie terminu realizacji danego zadania.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posiada listę rezerwową uczestników w związku z czym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nie przewiduje wydłużenia terminu realizacji.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akceptuje fakt obciążenia kosztami niezasadnego wezwania serwisu w sytuacji, w której zgłoszenie serwisowe nie obejmowało elementów instalacji zamontowanej przez Wykonawcę?   Wykonawcy</w:t>
      </w:r>
      <w:r>
        <w:rPr>
          <w:rFonts w:ascii="Calibri" w:hAnsi="Calibri"/>
          <w:sz w:val="21"/>
          <w:szCs w:val="21"/>
        </w:rPr>
        <w:t xml:space="preserve"> niejednokrotnie spotykają się z sytuacją, w której wezwania serwisowe nie obejmują uszkodzeń związanych z wykonywaną instalacją, a zgłoszeniu podlegają wady instalacji nieobjętych zamówieniem, należących do beneficjenta. Zwracamy się z prośbą o uwzględnie</w:t>
      </w:r>
      <w:r>
        <w:rPr>
          <w:rFonts w:ascii="Calibri" w:hAnsi="Calibri"/>
          <w:sz w:val="21"/>
          <w:szCs w:val="21"/>
        </w:rPr>
        <w:t>nie we wzorze umowy zapisu o możliwości obciążenia Zamawiającego odpowiedzialnością za niezasadne wykonanie serwisu w przypadku zgłoszenia wady niewykonanej przez Wykonawcę instalacji.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>Odpowiedź:</w:t>
      </w: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lang w:eastAsia="pl-PL"/>
        </w:rPr>
        <w:t xml:space="preserve"> </w:t>
      </w: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 xml:space="preserve">Koszt usługi musi być wyliczony realnie, a ewentualne spory </w:t>
      </w:r>
      <w:r>
        <w:rPr>
          <w:rFonts w:ascii="Calibri" w:eastAsia="Times New Roman" w:hAnsi="Calibri" w:cs="Calibri"/>
          <w:color w:val="auto"/>
          <w:sz w:val="21"/>
          <w:szCs w:val="21"/>
          <w:lang w:eastAsia="pl-PL"/>
        </w:rPr>
        <w:t>będą rozstrzygane na bieżąco. Warunki serwisowania i gwarancji określają umowa i warunki gwarancji.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Zwracamy się z prośbą o dopuszczenie możliwości złożenia ryczałtowej kalkulacji kosztów usunięcia najczęściej występujących usterek lub wad nieobję</w:t>
      </w:r>
      <w:r>
        <w:rPr>
          <w:rFonts w:ascii="Calibri" w:hAnsi="Calibri"/>
          <w:sz w:val="21"/>
          <w:szCs w:val="21"/>
        </w:rPr>
        <w:t>tych rękojmią lub gwarancją. Przyjęcie takiego rozwiązania w znaczący sposób obniży potencjalne koszty naprawy pozagwarancyjnej, z uwagi na brak konieczności uwzględnienia w kalkulacji kosztów dwukrotnego przejazdu na miejsce usterki, jednocześnie przyspie</w:t>
      </w:r>
      <w:r>
        <w:rPr>
          <w:rFonts w:ascii="Calibri" w:hAnsi="Calibri"/>
          <w:sz w:val="21"/>
          <w:szCs w:val="21"/>
        </w:rPr>
        <w:t>szając proces naprawy – serwisanci przystępują od razu do analizy uszkodzeń, nie wyceniając usterek.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Calibri"/>
          <w:color w:val="auto"/>
          <w:sz w:val="21"/>
          <w:szCs w:val="21"/>
        </w:rPr>
        <w:t>Koszt usługi musi być wyliczony realnie, a ewentualne spory będą rozstrzygane na bieżąco.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potwierdzenie, że po stronie </w:t>
      </w:r>
      <w:r>
        <w:rPr>
          <w:rFonts w:ascii="Calibri" w:hAnsi="Calibri"/>
          <w:sz w:val="21"/>
          <w:szCs w:val="21"/>
        </w:rPr>
        <w:t>Wykonawcy leży obowiązek wystawienia faktury za wykonane prace zgodnie z obowiązującymi przepisami.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eastAsia="Times New Roman" w:hAnsi="Calibri" w:cs="Liberation Serif"/>
          <w:b/>
          <w:bCs/>
          <w:color w:val="auto"/>
          <w:sz w:val="21"/>
          <w:szCs w:val="21"/>
          <w:u w:val="single"/>
          <w:lang w:eastAsia="pl-PL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Zamawiający potwierdza, że po stronie Wykonawcy leży obowiązek wystawienia faktury za wykonane prace zgodnie z obowiązującymi przepisami.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informacje ile układów kotłowych wymaga zamknięcia i po czyjej stronie jest wykonanie zamknięcia układu kotłowego otwartego – Wykonawcy czy Beneficjenta?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Zamawiający przewiduję, iż wszystkie układy powinny być zamknięte, kosz</w:t>
      </w:r>
      <w:r>
        <w:rPr>
          <w:rFonts w:ascii="Calibri" w:hAnsi="Calibri" w:cs="Liberation Serif"/>
          <w:color w:val="auto"/>
          <w:sz w:val="21"/>
          <w:szCs w:val="21"/>
        </w:rPr>
        <w:t xml:space="preserve">t ich zamknięcia i wykonania prawidłowego zabezpieczenia kotła leży po stronie Wykonawcy.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po stronie Beneficjenta jest dostosowanie przyłączenia do kotła przy kominie.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Prace związane z włączeniem się do istn</w:t>
      </w:r>
      <w:r>
        <w:rPr>
          <w:rFonts w:ascii="Calibri" w:hAnsi="Calibri" w:cs="Liberation Serif"/>
          <w:color w:val="auto"/>
          <w:sz w:val="21"/>
          <w:szCs w:val="21"/>
        </w:rPr>
        <w:t xml:space="preserve">iejącego komina tj. przyłączenie czopucha oraz prace dostosowawcze należą do Wykonawcy.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dostosowanie komina dymowego, przewodu wentylacyjnego i napowietrzającego w kotłowni leży po stronie Beneficjenta.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Zape</w:t>
      </w:r>
      <w:r>
        <w:rPr>
          <w:rFonts w:ascii="Calibri" w:hAnsi="Calibri" w:cs="Liberation Serif"/>
          <w:color w:val="auto"/>
          <w:sz w:val="21"/>
          <w:szCs w:val="21"/>
        </w:rPr>
        <w:t xml:space="preserve">wnienie prawidłowej wentylacji i instalacji kominowej dymowej należy do Użytkownika.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Zamawiający wymaga montażu termostatu pokojowego dla każdej lokalizacji dostawy i montażu kotła.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Tak, Zamawiający wymaga dla </w:t>
      </w:r>
      <w:r>
        <w:rPr>
          <w:rFonts w:ascii="Calibri" w:hAnsi="Calibri" w:cs="Liberation Serif"/>
          <w:color w:val="auto"/>
          <w:sz w:val="21"/>
          <w:szCs w:val="21"/>
        </w:rPr>
        <w:t>każdej instalacji.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instalacje kotłów będę montowane poza budynkami mieszkalnymi?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W ramach niniejszego zamówienia nie występują instalacje kotłów poza budynkami mieszkalnymi. Instalacje takie mogą wystąpić na etapie realizacji zamówi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enia w wyniku zmian miejsca lokalizacji.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Zamawiający nie wymaga izolowanie rur w instalacjach kotłowych.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Do Wykonawcy należy zaizolowanie rur i przewodów wykonanych (nie istniejących) zgodnie z obowiązującym</w:t>
      </w:r>
      <w:r>
        <w:rPr>
          <w:rFonts w:ascii="Calibri" w:hAnsi="Calibri" w:cs="Liberation Serif"/>
          <w:color w:val="auto"/>
          <w:sz w:val="21"/>
          <w:szCs w:val="21"/>
        </w:rPr>
        <w:t>i przepisami.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dla wstępnego potwierdzenia spełnienia warunków udziału w przetargu wykonawca może wypełnić sekcję alfa w JEDZ.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Odpowiedź: </w:t>
      </w:r>
      <w:r>
        <w:rPr>
          <w:rStyle w:val="UMwyrniony"/>
          <w:rFonts w:ascii="Calibri" w:eastAsia="Times New Roman" w:hAnsi="Calibri" w:cs="Liberation Serif"/>
          <w:b w:val="0"/>
          <w:iCs w:val="0"/>
          <w:color w:val="auto"/>
          <w:sz w:val="21"/>
          <w:szCs w:val="21"/>
          <w:lang w:eastAsia="pl-PL"/>
        </w:rPr>
        <w:t>Szczegółowa instrukcja wypełniania JEDZ oraz zakres w jakim należy to zrobić znajd</w:t>
      </w:r>
      <w:r>
        <w:rPr>
          <w:rStyle w:val="UMwyrniony"/>
          <w:rFonts w:ascii="Calibri" w:eastAsia="Times New Roman" w:hAnsi="Calibri" w:cs="Liberation Serif"/>
          <w:b w:val="0"/>
          <w:iCs w:val="0"/>
          <w:color w:val="auto"/>
          <w:sz w:val="21"/>
          <w:szCs w:val="21"/>
          <w:lang w:eastAsia="pl-PL"/>
        </w:rPr>
        <w:t>ują się w pkt. 6 SIWZ</w:t>
      </w:r>
      <w:r>
        <w:rPr>
          <w:rFonts w:ascii="Calibri" w:hAnsi="Calibri" w:cs="Liberation Serif"/>
          <w:color w:val="auto"/>
          <w:sz w:val="21"/>
          <w:szCs w:val="21"/>
        </w:rPr>
        <w:t xml:space="preserve">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przewiduje możliwość zmniejszenia zakresu zamówienia? Na jakim etapie inwestycji będzie taka informacja potwierdzona?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Szczególne przypadki zmniejszenia zakresu zamówienia opisane zostały w </w:t>
      </w:r>
      <w:r>
        <w:rPr>
          <w:rFonts w:ascii="Calibri" w:hAnsi="Calibri" w:cs="Liberation Serif"/>
          <w:color w:val="auto"/>
          <w:sz w:val="21"/>
          <w:szCs w:val="21"/>
        </w:rPr>
        <w:t>załącznikach 2a-2h do SIWZ tj. we wzorach umowy.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rękojmia wynosi 5 lat.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 Zgodnie z postanowieniami wzorów umów oraz wzorów kart gwarancyjnych Zamawiający wspólnie z Wykonawcą rozszerzają odpowiedzialność Wyko</w:t>
      </w:r>
      <w:r>
        <w:rPr>
          <w:rFonts w:ascii="Calibri" w:hAnsi="Calibri" w:cs="Liberation Serif"/>
          <w:color w:val="auto"/>
          <w:sz w:val="21"/>
          <w:szCs w:val="21"/>
        </w:rPr>
        <w:t>nawcy z tytułu rękojmi za wady przedmiotu umowy na okres 60 miesięcy. W zależności od części zamówienia rożne są okresy gwarancji na pozostałe urządzenia i wynoszą odpowiednio 120 lub 60 miesięcy.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dostęp do sieci intern</w:t>
      </w:r>
      <w:r>
        <w:rPr>
          <w:rFonts w:ascii="Calibri" w:hAnsi="Calibri"/>
          <w:sz w:val="21"/>
          <w:szCs w:val="21"/>
        </w:rPr>
        <w:t>etowej na potrzeby monitoringu instalacji leży po stronie Użytkownika instalacji?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 xml:space="preserve"> Mieszkaniec/użytkownik zapewnia dostęp do sieci internetowej natomiast po stronie Wykonawcy jest ewentualne wzmocnienie tego sygnału i uruchomienie komunikacji i </w:t>
      </w:r>
      <w:r>
        <w:rPr>
          <w:rFonts w:ascii="Calibri" w:hAnsi="Calibri"/>
          <w:color w:val="auto"/>
          <w:sz w:val="21"/>
          <w:szCs w:val="21"/>
        </w:rPr>
        <w:t>wizualizacji o ile są takie możliwości techniczne.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montaż i dostawa grzałki dla instalacji solarnych nie jest objęty przedmiotem zamówienia.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rezygnuje z montażu grzałek elektrycznych na instalacja</w:t>
      </w:r>
      <w:r>
        <w:rPr>
          <w:rFonts w:ascii="Calibri" w:hAnsi="Calibri" w:cs="Liberation Serif"/>
          <w:color w:val="auto"/>
          <w:sz w:val="21"/>
          <w:szCs w:val="21"/>
        </w:rPr>
        <w:t>ch solarnych.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Zamawiający wymaga reduktora ciśnienia w każdej instalacji.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 Zamawiający wymaga reduktora ciśnienia w każdej instalacji, dostawa i montaż leży po stronie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</w:t>
      </w:r>
      <w:r>
        <w:rPr>
          <w:rFonts w:ascii="Calibri" w:hAnsi="Calibri"/>
          <w:sz w:val="21"/>
          <w:szCs w:val="21"/>
        </w:rPr>
        <w:t>potwierdzenie, że jeżeli Wykonawca będzie stosował rury PP, nie będzie konieczności dodatkowego dawania izolacji na rurach ZW, CWU i CO.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nie potwierdza.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montaż zaworu antyskażeniowego leży po stro</w:t>
      </w:r>
      <w:r>
        <w:rPr>
          <w:rFonts w:ascii="Calibri" w:hAnsi="Calibri"/>
          <w:sz w:val="21"/>
          <w:szCs w:val="21"/>
        </w:rPr>
        <w:t xml:space="preserve">nie Beneficjenta. 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Montaż zaworu antyskażeniowego leży po stronie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zakres prac Wykonawcy dla kolektorów słonecznych wchodzi dostawa i montaż pompy obiegu grzewczego wraz z niezbędną armaturą (zawory odcinające, zawór zwr</w:t>
      </w:r>
      <w:r>
        <w:rPr>
          <w:rFonts w:ascii="Calibri" w:hAnsi="Calibri"/>
          <w:sz w:val="21"/>
          <w:szCs w:val="21"/>
        </w:rPr>
        <w:t>otny, filtr siatkowy, rury, czujnik temperatury oraz rury wraz z izolacją po stronie połączenia zbiornika do kotła)?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potwierdza. Ponadto należy przewidzieć odpowietrznik automatyczny na obiegu ładowania zasobnika od kotła.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ie:</w:t>
      </w:r>
      <w:r>
        <w:rPr>
          <w:rFonts w:ascii="Calibri" w:hAnsi="Calibri"/>
          <w:sz w:val="21"/>
          <w:szCs w:val="21"/>
        </w:rPr>
        <w:t> Prosimy o potwierdzenie, że jeżeli sterownik solarny ma wbudowaną pamięć nie ma obowiązku montowania dodatkowej kastry pamięci SD lub micro SD.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potwierdza.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potwierdzenie, że w przypadku montażu instalacji </w:t>
      </w:r>
      <w:r>
        <w:rPr>
          <w:rFonts w:ascii="Calibri" w:hAnsi="Calibri"/>
          <w:sz w:val="21"/>
          <w:szCs w:val="21"/>
        </w:rPr>
        <w:t>na gruncie to po stronie Beneficjenta leży przygotowanie podłoża, wykopy i obciążenia dla konstrukcji zgodnie z zaleceniami Wykonawcy.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/>
          <w:color w:val="auto"/>
          <w:sz w:val="21"/>
          <w:szCs w:val="21"/>
        </w:rPr>
        <w:t>Przygotowanie podłoża, wykopy i obciążenia dla konstrukcji i postumentu pod montaż kolektorów lub instalacji f</w:t>
      </w:r>
      <w:r>
        <w:rPr>
          <w:rFonts w:ascii="Calibri" w:hAnsi="Calibri"/>
          <w:color w:val="auto"/>
          <w:sz w:val="21"/>
          <w:szCs w:val="21"/>
        </w:rPr>
        <w:t>otowoltaicznych leży po stronie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  <w:highlight w:val="cyan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dla ilu instalacji solarnych, kotłów, pomp ciepła, Zamawiający wymaga dostarczenia modemów LAN w celu zapewnienia monitoringu.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>Odpowi</w:t>
      </w: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edź: </w:t>
      </w:r>
      <w:r>
        <w:rPr>
          <w:rFonts w:ascii="Calibri" w:hAnsi="Calibri" w:cs="Liberation Serif"/>
          <w:color w:val="auto"/>
          <w:sz w:val="21"/>
          <w:szCs w:val="21"/>
        </w:rPr>
        <w:t>Zamawiający wymaga dostarczenia modemów LAN d</w:t>
      </w:r>
      <w:r>
        <w:rPr>
          <w:rFonts w:ascii="Calibri" w:hAnsi="Calibri" w:cs="Liberation Serif"/>
          <w:color w:val="auto"/>
          <w:sz w:val="21"/>
          <w:szCs w:val="21"/>
        </w:rPr>
        <w:t xml:space="preserve">la wszystkich instalacji solarnych, kotłów, pomp ciepła.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 że Zamawiający dopuszcza zastosowanie systemowego rurociągu solarnego z rurą przewodową ze stali nierdzewnej DN16 w izolacji PES o grubości min. 13 mm oraz parametre</w:t>
      </w:r>
      <w:r>
        <w:rPr>
          <w:rFonts w:ascii="Calibri" w:hAnsi="Calibri"/>
          <w:sz w:val="21"/>
          <w:szCs w:val="21"/>
        </w:rPr>
        <w:t>m lambda 0,035 W/(mK) w temp 0°C oraz wytrzymałości temperaturowej 150stC, zabezpieczonej w specjalnym płaczu ochronnym chroniącym przed UV oraz zgrzewanej na każdym końcu termo kurczem zabezpieczającym przed dostawaniem się wilgoci.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</w:t>
      </w:r>
      <w:r>
        <w:rPr>
          <w:rFonts w:ascii="Calibri" w:hAnsi="Calibri" w:cs="Liberation Serif"/>
          <w:color w:val="auto"/>
          <w:sz w:val="21"/>
          <w:szCs w:val="21"/>
        </w:rPr>
        <w:t xml:space="preserve"> dopuszcza takie rozwiązanie.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wobec wielkości zadania i objętego Specyfikacją Istotnych Warunków Zamówienia i wprowadzenia przez Zamawiającego wysokich warunków dotyczących zdolności technicznej i zawodowej, określonych w SIWZ Zamawiający wpro</w:t>
      </w:r>
      <w:r>
        <w:rPr>
          <w:rFonts w:ascii="Calibri" w:hAnsi="Calibri"/>
          <w:sz w:val="21"/>
          <w:szCs w:val="21"/>
        </w:rPr>
        <w:t xml:space="preserve">wadzi fakultatywną przesłankę wykluczenia z art. 24 ust. 5 pkt 2 ustawy p.z.p? Jeżeli tak, to czy, w świetle wprowadzenia przez Zamawiającego przesłanki wykluczenia z  art. 24 ust. 5 pkt 2 ustawy p.z.p., Wykonawca, który został wykluczony z postępowania z </w:t>
      </w:r>
      <w:r>
        <w:rPr>
          <w:rFonts w:ascii="Calibri" w:hAnsi="Calibri"/>
          <w:sz w:val="21"/>
          <w:szCs w:val="21"/>
        </w:rPr>
        <w:t>powodu zawinionego poważnego naruszenia obowiązków zawodowych w innym postępowaniu prawomocnym wyrokiem sądu powinien odpowiedzieć twierdząco na pytanie JEDZ „Czy wykonawca jest winien poważnego wykroczenia zawodowego?” oraz proszę o wyjaśnienie, czy w świ</w:t>
      </w:r>
      <w:r>
        <w:rPr>
          <w:rFonts w:ascii="Calibri" w:hAnsi="Calibri"/>
          <w:sz w:val="21"/>
          <w:szCs w:val="21"/>
        </w:rPr>
        <w:t>etle pozostałych zapisów Specyfikacji wykluczeniu podlega Wykonawca, który uzyskał zamówienie na podstawie przepisów ustawy, a następnie Zamawiający odstąpił od umowy o realizację przedmiotowego zamówienia na podstawie takich okoliczności, że Wykonawca nie</w:t>
      </w:r>
      <w:r>
        <w:rPr>
          <w:rFonts w:ascii="Calibri" w:hAnsi="Calibri"/>
          <w:sz w:val="21"/>
          <w:szCs w:val="21"/>
        </w:rPr>
        <w:t xml:space="preserve"> rozpoczął prac lub przerwał prace i nie wznowił ich mimo wezwań Zamawiającego, a naruszenie obowiązków zostało stwierdzone prawomocnym wyrokiem sądu?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 </w:t>
      </w:r>
      <w:r>
        <w:rPr>
          <w:rFonts w:ascii="Calibri" w:hAnsi="Calibri"/>
          <w:color w:val="auto"/>
          <w:sz w:val="21"/>
          <w:szCs w:val="21"/>
        </w:rPr>
        <w:t>Pkt 5.1.1. SIWZ brzmi: „</w:t>
      </w:r>
      <w:r>
        <w:rPr>
          <w:rFonts w:ascii="Calibri" w:hAnsi="Calibri" w:cs="Calibri"/>
          <w:color w:val="auto"/>
          <w:sz w:val="21"/>
          <w:szCs w:val="21"/>
        </w:rPr>
        <w:t>O udzielenie zamówienia mogą ubiegać się Wykonawcy, którzy nie podleg</w:t>
      </w:r>
      <w:r>
        <w:rPr>
          <w:rFonts w:ascii="Calibri" w:hAnsi="Calibri" w:cs="Calibri"/>
          <w:color w:val="auto"/>
          <w:sz w:val="21"/>
          <w:szCs w:val="21"/>
        </w:rPr>
        <w:t>ają wykluczeniu z art. 24 ust. 1 i art. 24 ust. 5 ustawy Pzp”, natomiast w pkt 5.6.2: „</w:t>
      </w:r>
      <w:r>
        <w:rPr>
          <w:rFonts w:ascii="Calibri" w:eastAsia="ArialMT" w:hAnsi="Calibri" w:cs="Calibri"/>
          <w:color w:val="auto"/>
          <w:sz w:val="21"/>
          <w:szCs w:val="21"/>
          <w:lang w:eastAsia="ar-SA"/>
        </w:rPr>
        <w:t xml:space="preserve">Z postępowania </w:t>
      </w:r>
      <w:r>
        <w:rPr>
          <w:rFonts w:ascii="Calibri" w:eastAsia="Arial" w:hAnsi="Calibri" w:cs="Calibri"/>
          <w:color w:val="auto"/>
          <w:sz w:val="21"/>
          <w:szCs w:val="21"/>
        </w:rPr>
        <w:t>o udzielenie zamówienia Zamawiający wykluczy Wykonawcę, w sto</w:t>
      </w:r>
      <w:r>
        <w:rPr>
          <w:rFonts w:ascii="Calibri" w:eastAsia="Arial" w:hAnsi="Calibri" w:cs="Calibri"/>
          <w:color w:val="auto"/>
          <w:sz w:val="21"/>
          <w:szCs w:val="21"/>
        </w:rPr>
        <w:softHyphen/>
        <w:t>sunku do którego zachodzą okoliczności wymienione w art. 24 ust. 1 ustawy Pzp. Zgodnie z art</w:t>
      </w:r>
      <w:r>
        <w:rPr>
          <w:rFonts w:ascii="Calibri" w:eastAsia="Arial" w:hAnsi="Calibri" w:cs="Calibri"/>
          <w:color w:val="auto"/>
          <w:sz w:val="21"/>
          <w:szCs w:val="21"/>
        </w:rPr>
        <w:t>. 24 ust. 5 ustawy Pzp, Zamawiający wykluczy z postępowania również Wykonawcę który w sposób zawiniony poważnie naruszył obowiązki zawodowe, co podwa</w:t>
      </w:r>
      <w:r>
        <w:rPr>
          <w:rFonts w:ascii="Calibri" w:eastAsia="Arial" w:hAnsi="Calibri" w:cs="Calibri"/>
          <w:color w:val="auto"/>
          <w:sz w:val="21"/>
          <w:szCs w:val="21"/>
        </w:rPr>
        <w:softHyphen/>
        <w:t xml:space="preserve">ża jego uczciwość, w szczególności gdy Wykonawca w wyniku zamierzonego działania lub rażącego niedbalstwa </w:t>
      </w:r>
      <w:r>
        <w:rPr>
          <w:rFonts w:ascii="Calibri" w:eastAsia="Arial" w:hAnsi="Calibri" w:cs="Calibri"/>
          <w:color w:val="auto"/>
          <w:sz w:val="21"/>
          <w:szCs w:val="21"/>
        </w:rPr>
        <w:t>nie wykonał lub nienależycie wykonał za</w:t>
      </w:r>
      <w:r>
        <w:rPr>
          <w:rFonts w:ascii="Calibri" w:eastAsia="Arial" w:hAnsi="Calibri" w:cs="Calibri"/>
          <w:color w:val="auto"/>
          <w:sz w:val="21"/>
          <w:szCs w:val="21"/>
        </w:rPr>
        <w:softHyphen/>
        <w:t xml:space="preserve">mówienie, co Zamawiający jest w stanie wykazać za pomocą stosownych środków dowodowych”. 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auto"/>
        </w:rPr>
      </w:pPr>
      <w:r>
        <w:rPr>
          <w:rFonts w:ascii="Calibri" w:hAnsi="Calibri" w:cs="Calibri"/>
          <w:bCs/>
          <w:color w:val="auto"/>
          <w:sz w:val="21"/>
          <w:szCs w:val="21"/>
        </w:rPr>
        <w:t>Wobec powyższego Zamawiający informuje, że</w:t>
      </w:r>
      <w:r>
        <w:rPr>
          <w:rFonts w:ascii="Calibri" w:hAnsi="Calibri" w:cs="Liberation Serif"/>
          <w:bCs/>
          <w:color w:val="auto"/>
          <w:sz w:val="21"/>
          <w:szCs w:val="21"/>
        </w:rPr>
        <w:t xml:space="preserve"> fakultatywna przesłanka wykluczenia z art. 24 ust. 5 pkt 2 ustawy Pzp została przewidziana. 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Cs/>
          <w:color w:val="auto"/>
          <w:sz w:val="21"/>
          <w:szCs w:val="21"/>
        </w:rPr>
        <w:lastRenderedPageBreak/>
        <w:t>Zamawiający nie zna sytuacji prawnej i faktycznej Wykonawcy dotyczącego wykluczenia z postępowania z powodu zawinionego poważnego naruszenia obowiązków zawodowych</w:t>
      </w:r>
      <w:r>
        <w:rPr>
          <w:rFonts w:ascii="Calibri" w:hAnsi="Calibri" w:cs="Liberation Serif"/>
          <w:bCs/>
          <w:color w:val="auto"/>
          <w:sz w:val="21"/>
          <w:szCs w:val="21"/>
        </w:rPr>
        <w:t xml:space="preserve"> w innym postępowaniu prawomocnym wyrokiem sądu, dlatego też JEDZ należy wypełnić zgodnie z Instrukcją wypełniania JEDZ strona 34-36.  Ponadto, ustawa Pzp oraz Instrukcja wypełniania JEDZ zawierają zapisy określające, że zgodnie z art. 24 ust. 8 ustawy Pzp</w:t>
      </w:r>
      <w:r>
        <w:rPr>
          <w:rFonts w:ascii="Calibri" w:hAnsi="Calibri" w:cs="Liberation Serif"/>
          <w:bCs/>
          <w:color w:val="auto"/>
          <w:sz w:val="21"/>
          <w:szCs w:val="21"/>
        </w:rPr>
        <w:t xml:space="preserve"> wykonawca, który podlega wykluczeniu na podstawie ust. 1 pkt 13 i 14 oraz pkt 16-20 lub ust. 5, może przedstawić dowody na to, że podjęte przez niego środki są wystarczające do wykazania jego rzetelności, w szczególności udowodnić naprawienie szkody wyrzą</w:t>
      </w:r>
      <w:r>
        <w:rPr>
          <w:rFonts w:ascii="Calibri" w:hAnsi="Calibri" w:cs="Liberation Serif"/>
          <w:bCs/>
          <w:color w:val="auto"/>
          <w:sz w:val="21"/>
          <w:szCs w:val="21"/>
        </w:rPr>
        <w:t>dzonej przestępstwem lub przestępstwem skarbowym, zadośćuczynienie za doznaną krzywdę lub naprawienie szkody, wyczerpujące wyjaśnienie stanu faktycznego oraz współpracę z organami ścigania oraz podjęcie konkretnych środków technicznych, organizacyjnych i k</w:t>
      </w:r>
      <w:r>
        <w:rPr>
          <w:rFonts w:ascii="Calibri" w:hAnsi="Calibri" w:cs="Liberation Serif"/>
          <w:bCs/>
          <w:color w:val="auto"/>
          <w:sz w:val="21"/>
          <w:szCs w:val="21"/>
        </w:rPr>
        <w:t>adrowych, które są odpowiednie dla zapobiegania dalszym przestępstwom lub przestępstwom skarbowym lub nieprawidłowemu postępowaniu wykonawcy. Zamawiający, stosownie do treści art. 24 ust.9 ustawy Pzp, uwzględniając wagę i szczególne okoliczności czynu wyko</w:t>
      </w:r>
      <w:r>
        <w:rPr>
          <w:rFonts w:ascii="Calibri" w:hAnsi="Calibri" w:cs="Liberation Serif"/>
          <w:bCs/>
          <w:color w:val="auto"/>
          <w:sz w:val="21"/>
          <w:szCs w:val="21"/>
        </w:rPr>
        <w:t xml:space="preserve">nawcy, oceni dowody wykazane przez wykonawcę w formularzu powyżej. Jeżeli uzna je za wystarczające,wykonawca nie będzie podlegał wykluczeniu. </w:t>
      </w:r>
    </w:p>
    <w:p w:rsidR="00AC1AA2" w:rsidRDefault="00EF0242">
      <w:pPr>
        <w:pStyle w:val="Tekstpodstawowy"/>
        <w:widowControl w:val="0"/>
        <w:spacing w:after="62"/>
        <w:ind w:left="777"/>
        <w:jc w:val="both"/>
        <w:rPr>
          <w:rFonts w:hint="eastAsia"/>
        </w:rPr>
      </w:pPr>
      <w:r>
        <w:rPr>
          <w:rFonts w:ascii="Calibri" w:hAnsi="Calibri" w:cs="Liberation Serif"/>
          <w:bCs/>
          <w:sz w:val="21"/>
          <w:szCs w:val="21"/>
        </w:rPr>
        <w:t>Zamawiający informuje, że wszelkie podstawy wykluczenia Wykonawcy zostały określone w SIWZ, a JEDZ należy wypełni</w:t>
      </w:r>
      <w:r>
        <w:rPr>
          <w:rFonts w:ascii="Calibri" w:hAnsi="Calibri" w:cs="Liberation Serif"/>
          <w:bCs/>
          <w:sz w:val="21"/>
          <w:szCs w:val="21"/>
        </w:rPr>
        <w:t>ć zgodnie z Instrukcją. Zamawiający nie zna okoliczności faktycznych i prawnych odstąpienia od umowy, a Wykonawca może skorzystać z instytucji „samooczyszczenia”. Oceny „samooczyszczenia” dokona Zamawiający na etapie oceny ofert na podstawie przedstawionyc</w:t>
      </w:r>
      <w:r>
        <w:rPr>
          <w:rFonts w:ascii="Calibri" w:hAnsi="Calibri" w:cs="Liberation Serif"/>
          <w:bCs/>
          <w:sz w:val="21"/>
          <w:szCs w:val="21"/>
        </w:rPr>
        <w:t>h przez Wykonawcę oświadczeń i dokumentów.</w:t>
      </w:r>
    </w:p>
    <w:p w:rsidR="00AC1AA2" w:rsidRDefault="00EF0242">
      <w:pPr>
        <w:pStyle w:val="Tekstpodstawowy"/>
        <w:widowControl w:val="0"/>
        <w:spacing w:after="227"/>
        <w:ind w:left="777"/>
        <w:jc w:val="both"/>
        <w:rPr>
          <w:rFonts w:hint="eastAsia"/>
        </w:rPr>
      </w:pPr>
      <w:r>
        <w:rPr>
          <w:rStyle w:val="UMwyrniony"/>
          <w:rFonts w:ascii="Calibri" w:eastAsia="Times New Roman" w:hAnsi="Calibri" w:cs="Liberation Serif"/>
          <w:b w:val="0"/>
          <w:iCs w:val="0"/>
          <w:sz w:val="21"/>
          <w:szCs w:val="21"/>
          <w:lang w:eastAsia="pl-PL" w:bidi="ar-SA"/>
        </w:rPr>
        <w:t xml:space="preserve">Szczegółowa instrukcja wypełniania JEDZ oraz zakres w jakim należy to zrobić znajdują się w pkt. 6 SIWZ.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    Czy Wykonawca, który został wykluczony z postępowania z powodów określonych w art. 24 ust. 1 pkt 16 i 17p.z.p. prawomocnym wyrokiem sądu powinien odpowiedzieć twierdząco na pytanie JEDZ „Czy wykonawca znalazł się w jednej z poniższych sytuacji: a) był</w:t>
      </w:r>
      <w:r>
        <w:rPr>
          <w:rFonts w:ascii="Calibri" w:hAnsi="Calibri"/>
          <w:sz w:val="21"/>
          <w:szCs w:val="21"/>
        </w:rPr>
        <w:t xml:space="preserve"> winny poważnego wprowadzenia w błąd przy dostarczaniu informacji wymaganych do weryfikacji braku podstaw wykluczenia lub do weryfikacji spełnienia kryteriów kwalifikacji; b) zataił te informacje; c) nie był w stanie niezwłocznie przedstawić dokumentów pot</w:t>
      </w:r>
      <w:r>
        <w:rPr>
          <w:rFonts w:ascii="Calibri" w:hAnsi="Calibri"/>
          <w:sz w:val="21"/>
          <w:szCs w:val="21"/>
        </w:rPr>
        <w:t>wierdzających wymaganych przez instytucję zamawiającą lub podmiot zamawiający; oraz d) przedsięwziął kroki, aby w bezprawny sposób wpłynąć na proces podejmowania decyzji przez instytucję zamawiającą lub podmiot zamawiający, pozyskać informacje poufne, któr</w:t>
      </w:r>
      <w:r>
        <w:rPr>
          <w:rFonts w:ascii="Calibri" w:hAnsi="Calibri"/>
          <w:sz w:val="21"/>
          <w:szCs w:val="21"/>
        </w:rPr>
        <w:t>e mogą dać mu nienależną przewagę w postępowaniu o udzielenie zamówienia, lub wskutek zaniedbania przedstawić wprowadzające w błąd informacje, które mogą mieć istotny wpływ na decyzje w sprawie wykluczenia, kwalifikacji lub udzielenia zamówienia?”?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</w:t>
      </w: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dź: </w:t>
      </w:r>
      <w:r>
        <w:rPr>
          <w:rFonts w:ascii="Calibri" w:hAnsi="Calibri" w:cs="Liberation Serif"/>
          <w:bCs/>
          <w:color w:val="auto"/>
          <w:sz w:val="21"/>
          <w:szCs w:val="21"/>
        </w:rPr>
        <w:t>Zamawiający nie zna sytuacji prawnej i faktycznej Wykonawcy dotyczącego wykluczenia z postępowania z z powodów określonych w art. 24 ust. 1 pkt 16 i 17p.z.p. prawomocnym wyrokiem sądu, dlatego też JEDZ należy wypełnić zgodnie z Instrukcją wypełniania J</w:t>
      </w:r>
      <w:r>
        <w:rPr>
          <w:rFonts w:ascii="Calibri" w:hAnsi="Calibri" w:cs="Liberation Serif"/>
          <w:bCs/>
          <w:color w:val="auto"/>
          <w:sz w:val="21"/>
          <w:szCs w:val="21"/>
        </w:rPr>
        <w:t>EDZ strona 43-44. Ponadto zgodnie z art. 24 ust. 8 Pzp „Wykonawca, który podlega wykluczeniu na podstawie ust. 1 pkt 13 i 14 oraz 16-20 lub ust. 5, może przedstawić dowody na to, że podjęte przez niego środki są wystarczające do wykazania jego rzetelności,</w:t>
      </w:r>
      <w:r>
        <w:rPr>
          <w:rFonts w:ascii="Calibri" w:hAnsi="Calibri" w:cs="Liberation Serif"/>
          <w:bCs/>
          <w:color w:val="auto"/>
          <w:sz w:val="21"/>
          <w:szCs w:val="21"/>
        </w:rPr>
        <w:t xml:space="preserve"> w szczególności udowodnić naprawienie szkody wyrządzonej przestępstwem lub przestępstwem skarbowym, zadośćuczynienie pieniężne za doznaną krzywdę lub naprawienie szkody, wyczerpujące wyjaśnienie stanu faktycznego oraz współpracę z organami ścigania oraz p</w:t>
      </w:r>
      <w:r>
        <w:rPr>
          <w:rFonts w:ascii="Calibri" w:hAnsi="Calibri" w:cs="Liberation Serif"/>
          <w:bCs/>
          <w:color w:val="auto"/>
          <w:sz w:val="21"/>
          <w:szCs w:val="21"/>
        </w:rPr>
        <w:t>odjęcie konkretnych środków technicznych, organizacyjnych i kadrowych, które są odpowiednie dla zapobiegania dalszym przestępstwom lub przestępstwom skarbowym lub nieprawidłowemu postępowaniu wykonawcy. Przepisu zdania pierwszego nie stosuje się, jeżeli wo</w:t>
      </w:r>
      <w:r>
        <w:rPr>
          <w:rFonts w:ascii="Calibri" w:hAnsi="Calibri" w:cs="Liberation Serif"/>
          <w:bCs/>
          <w:color w:val="auto"/>
          <w:sz w:val="21"/>
          <w:szCs w:val="21"/>
        </w:rPr>
        <w:t>bec wykonawcy, będącego podmiotem zbiorowym, orzeczono prawomocnym wyrokiem sądu zakaz ubiegania się o udzielenie zamówienia oraz nie upłynął określony w tym wyroku okres obowiązywania tego zakazu”.</w:t>
      </w:r>
    </w:p>
    <w:p w:rsidR="00AC1AA2" w:rsidRDefault="00EF0242">
      <w:pPr>
        <w:pStyle w:val="Normalny1"/>
        <w:spacing w:after="5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color w:val="auto"/>
          <w:sz w:val="21"/>
          <w:szCs w:val="21"/>
        </w:rPr>
        <w:t>Oceny „samooczyszczenia” dokona Zamawiający na etapie oce</w:t>
      </w:r>
      <w:r>
        <w:rPr>
          <w:rFonts w:ascii="Calibri" w:hAnsi="Calibri" w:cs="Liberation Serif"/>
          <w:color w:val="auto"/>
          <w:sz w:val="21"/>
          <w:szCs w:val="21"/>
        </w:rPr>
        <w:t xml:space="preserve">ny ofert na podstawie przedstawionych przez Wykonawcę oświadczeń i dokumentów.   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Style w:val="UMwyrniony"/>
          <w:rFonts w:ascii="Calibri" w:eastAsia="Times New Roman" w:hAnsi="Calibri" w:cs="Liberation Serif"/>
          <w:b w:val="0"/>
          <w:iCs w:val="0"/>
          <w:color w:val="auto"/>
          <w:sz w:val="21"/>
          <w:szCs w:val="21"/>
          <w:lang w:eastAsia="pl-PL"/>
        </w:rPr>
        <w:lastRenderedPageBreak/>
        <w:t>Szczegółowa instrukcja wypełniania JEDZ oraz zakres w jakim należy to zrobić znajdują się w pkt. 6 SIWZ.</w:t>
      </w:r>
      <w:r>
        <w:rPr>
          <w:rStyle w:val="UMwyrniony"/>
          <w:rFonts w:ascii="Calibri" w:eastAsia="Times New Roman" w:hAnsi="Calibri" w:cs="Liberation Serif"/>
          <w:b w:val="0"/>
          <w:iCs w:val="0"/>
          <w:color w:val="auto"/>
          <w:sz w:val="21"/>
          <w:szCs w:val="21"/>
          <w:highlight w:val="yellow"/>
          <w:lang w:eastAsia="pl-PL"/>
        </w:rPr>
        <w:t xml:space="preserve">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potwierdzenie, że w razie konieczności </w:t>
      </w:r>
      <w:r>
        <w:rPr>
          <w:rFonts w:ascii="Calibri" w:hAnsi="Calibri"/>
          <w:sz w:val="21"/>
          <w:szCs w:val="21"/>
        </w:rPr>
        <w:t>poprowadzenia instalacji w kanale wentylacyjnym uzyskanie opinii kominiarskiej leży po stronie Beneficjenta.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/>
          <w:color w:val="auto"/>
          <w:sz w:val="21"/>
          <w:szCs w:val="21"/>
        </w:rPr>
        <w:t>Uzyskanie opinii kominiarskich należy do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Z uwagi na coraz większe anomalie pogodowe występujące na terytorium wojewó</w:t>
      </w:r>
      <w:r>
        <w:rPr>
          <w:rFonts w:ascii="Calibri" w:hAnsi="Calibri"/>
          <w:sz w:val="21"/>
          <w:szCs w:val="21"/>
        </w:rPr>
        <w:t>dztwa podkarpackiego, w szczególności tworzeniu się superkomórek burzowych, wnosimy o uzupełnienie zapisów dokumentacji o grubość szyby kolektorów słonecznych, która, aby zapewnić zmniejszenie ryzyka uszkodzenia podczas gradobicia powinna wynosić minimum 4</w:t>
      </w:r>
      <w:r>
        <w:rPr>
          <w:rFonts w:ascii="Calibri" w:hAnsi="Calibri"/>
          <w:sz w:val="21"/>
          <w:szCs w:val="21"/>
        </w:rPr>
        <w:t xml:space="preserve"> mm. Pragniemy zauważyć, że Zamawiający wymaga kolektora słonecznego o dużej powierzchni zatem szyba kolektora, aby oprzeć się zarówno obciążeniem śniegu jak i dużym kulom gradowym powinna mieć grubość co najmniej 4 mm. Powołujemy się także na wyrok KIO 78</w:t>
      </w:r>
      <w:r>
        <w:rPr>
          <w:rFonts w:ascii="Calibri" w:hAnsi="Calibri"/>
          <w:sz w:val="21"/>
          <w:szCs w:val="21"/>
        </w:rPr>
        <w:t>3/19, w którym przedstawiona jest prawidłowość postępowania przy doborze kolektorów słonecznych o wyższej wytrzymałości na gradobicie co zapewni Zamawiającemu kolektor z szybą grubości 4 mm co jest standardem stosowanym u renomowanych producentów kolektoró</w:t>
      </w:r>
      <w:r>
        <w:rPr>
          <w:rFonts w:ascii="Calibri" w:hAnsi="Calibri"/>
          <w:sz w:val="21"/>
          <w:szCs w:val="21"/>
        </w:rPr>
        <w:t>w słonecznych.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wymaga badań odporności kolektora słonecznego na grad.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Czy Zamawiający dopuści zasobniki o pojemności 400 l dla instalacji solarnych, które posiadają powierzchnię górnej wężownicy 1,8 m2?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</w:t>
      </w:r>
      <w:r>
        <w:rPr>
          <w:rFonts w:ascii="Calibri" w:hAnsi="Calibri" w:cs="Liberation Serif"/>
          <w:color w:val="auto"/>
          <w:sz w:val="21"/>
          <w:szCs w:val="21"/>
        </w:rPr>
        <w:t>iający dopuszcza.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Zamawiający określił, że w instalacjach pomp ciepła: „Sterowanie dodatkowym źródłem ciepła, podłączonego do wężownicy, z rozróżnieniem na kocioł automatyczny lub stałopalny.”. Wnosimy o wykreślenie niniejszego zapisu, ponieważ zg</w:t>
      </w:r>
      <w:r>
        <w:rPr>
          <w:rFonts w:ascii="Calibri" w:hAnsi="Calibri"/>
          <w:sz w:val="21"/>
          <w:szCs w:val="21"/>
        </w:rPr>
        <w:t>odnie z obowiązującymi normami, kotły stałopalne nie powinny być już montowane. Jeśli mieszkaniec posiada kocioł stałopalny, to w okresie zimy musi w nim pali tak samo jak w kotle automatycznym, więc nie ma potrzeby rozróżniania typu kotła w pompie ciepła.</w:t>
      </w:r>
      <w:r>
        <w:rPr>
          <w:rFonts w:ascii="Calibri" w:hAnsi="Calibri"/>
          <w:sz w:val="21"/>
          <w:szCs w:val="21"/>
        </w:rPr>
        <w:t xml:space="preserve"> Obecny zapis może stanowić zatem czynnik ograniczający konkurencyjność w postępowaniu i naruszający zasadę pzp.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rezygnuje z zapisów. Zamawiający będzie wymagał sterowania pompą obiegową c.o.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w ra</w:t>
      </w:r>
      <w:r>
        <w:rPr>
          <w:rFonts w:ascii="Calibri" w:hAnsi="Calibri"/>
          <w:sz w:val="21"/>
          <w:szCs w:val="21"/>
        </w:rPr>
        <w:t>zie konieczności poprowadzenia instalacji w kanale wentylacyjnym uzyskanie opinii kominiarskiej leży po stronie Beneficjenta.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>Uzyskanie opinii kominiarskich należy do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Po czyjej stronie leży koszt wykonania instalacji odgromow</w:t>
      </w:r>
      <w:r>
        <w:rPr>
          <w:rFonts w:ascii="Calibri" w:hAnsi="Calibri"/>
          <w:sz w:val="21"/>
          <w:szCs w:val="21"/>
        </w:rPr>
        <w:t>ej w razie konieczności?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>W przypadkach określonych w S</w:t>
      </w:r>
      <w:r>
        <w:rPr>
          <w:rFonts w:ascii="Calibri" w:hAnsi="Calibri" w:cs="Liberation Serif"/>
          <w:color w:val="000000"/>
          <w:sz w:val="21"/>
          <w:szCs w:val="21"/>
        </w:rPr>
        <w:t>IWZ</w:t>
      </w:r>
      <w:r>
        <w:rPr>
          <w:rFonts w:ascii="Calibri" w:eastAsia="Times New Roman" w:hAnsi="Calibri" w:cs="Liberation Serif"/>
          <w:color w:val="000000"/>
          <w:sz w:val="21"/>
          <w:szCs w:val="21"/>
          <w:lang w:eastAsia="pl-PL"/>
        </w:rPr>
        <w:t xml:space="preserve"> wykonanie instalacji odgromowej leży po stronie Wykonawcy (dot. części I i II).  W pozostałych przypadkach nie przewiduje się wykonania/modernizacji tej instalacji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</w:t>
      </w:r>
      <w:r>
        <w:rPr>
          <w:rFonts w:ascii="Calibri" w:hAnsi="Calibri"/>
          <w:sz w:val="21"/>
          <w:szCs w:val="21"/>
        </w:rPr>
        <w:t>potwierdzenie, że dostęp do sieci internetowej na potrzeby monitoringu instalacji fotowoltaicznej leży po stronie Użytkownika instalacji?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 </w:t>
      </w:r>
      <w:r>
        <w:rPr>
          <w:rFonts w:ascii="Calibri" w:hAnsi="Calibri"/>
          <w:color w:val="auto"/>
          <w:sz w:val="21"/>
          <w:szCs w:val="21"/>
        </w:rPr>
        <w:t>Mieszkaniec/użytkownik zapewnia dostęp do sieci internetowej natomiast po stronie Wykonawcy jest ewentualn</w:t>
      </w:r>
      <w:r>
        <w:rPr>
          <w:rFonts w:ascii="Calibri" w:hAnsi="Calibri"/>
          <w:color w:val="auto"/>
          <w:sz w:val="21"/>
          <w:szCs w:val="21"/>
        </w:rPr>
        <w:t>e wzmocnienie tego sygnału i uruchomienie komunikacji i wizualizacji, o ile jest to możliwe technicznie.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Prosimy o dopuszczenie falowników o sprawności europejskiej na poziomie min. 95,9 %. </w:t>
      </w:r>
      <w:r>
        <w:rPr>
          <w:rFonts w:ascii="Calibri" w:hAnsi="Calibri"/>
          <w:sz w:val="21"/>
          <w:szCs w:val="21"/>
        </w:rPr>
        <w:lastRenderedPageBreak/>
        <w:t>Zgodnie z SIWZ taki falownik jest dopuszczony jednak Wyko</w:t>
      </w:r>
      <w:r>
        <w:rPr>
          <w:rFonts w:ascii="Calibri" w:hAnsi="Calibri"/>
          <w:sz w:val="21"/>
          <w:szCs w:val="21"/>
        </w:rPr>
        <w:t>nawca otrzyma 0 punktów, jednak w dokumentacji wartości sprawności są dużo większe.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5.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informacje czy wymagany spadek napięcia do 50V ma być po stronie DC czy AC instalacji fotowoltaicznej ? </w:t>
      </w:r>
    </w:p>
    <w:p w:rsidR="00AC1AA2" w:rsidRDefault="00EF0242">
      <w:pPr>
        <w:widowControl w:val="0"/>
        <w:spacing w:after="60" w:line="276" w:lineRule="auto"/>
        <w:ind w:left="777"/>
        <w:jc w:val="both"/>
        <w:rPr>
          <w:rFonts w:hint="eastAsia"/>
        </w:rPr>
      </w:pPr>
      <w:r>
        <w:rPr>
          <w:rFonts w:ascii="Calibri" w:hAnsi="Calibri"/>
          <w:b/>
          <w:bCs/>
          <w:sz w:val="21"/>
          <w:szCs w:val="21"/>
        </w:rPr>
        <w:t>Odpowiedź:</w:t>
      </w:r>
      <w:r>
        <w:rPr>
          <w:rFonts w:ascii="Calibri" w:hAnsi="Calibri" w:cs="Liberation Serif"/>
          <w:sz w:val="21"/>
          <w:szCs w:val="21"/>
        </w:rPr>
        <w:t>Wymagany spadek napięcia ma być zgodny z obowiązującymi przepisami.</w:t>
      </w:r>
    </w:p>
    <w:p w:rsidR="00AC1AA2" w:rsidRDefault="00AC1AA2">
      <w:pPr>
        <w:widowControl w:val="0"/>
        <w:spacing w:after="60" w:line="276" w:lineRule="auto"/>
        <w:ind w:left="737" w:hanging="680"/>
        <w:jc w:val="both"/>
        <w:rPr>
          <w:rFonts w:ascii="Calibri" w:hAnsi="Calibri"/>
          <w:sz w:val="21"/>
          <w:szCs w:val="21"/>
        </w:rPr>
      </w:pP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 xml:space="preserve">Pytanie: </w:t>
      </w:r>
      <w:r>
        <w:rPr>
          <w:rFonts w:ascii="Calibri" w:hAnsi="Calibri"/>
          <w:color w:val="000000"/>
          <w:sz w:val="21"/>
          <w:szCs w:val="21"/>
        </w:rPr>
        <w:t>Prosimy o informację czy jeśli falownik posiada wbudowany wyłącznik różnicowoprądowy to czy konieczne jest stosowanie dodatkowego zewnętrznego zabezpieczenia.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000000"/>
          <w:sz w:val="21"/>
          <w:szCs w:val="21"/>
        </w:rPr>
        <w:t xml:space="preserve">Wymagany spadek napięcia ma być zgodny z obowiązującymi przepisami, jeżeli inwerter posiada wbudowany wyłącznik RCD to nie będzie konieczne stosowanie dodatkowego.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 że wykonanie instalacji uziemiającej dla instal</w:t>
      </w:r>
      <w:r>
        <w:rPr>
          <w:rFonts w:ascii="Calibri" w:hAnsi="Calibri"/>
          <w:sz w:val="21"/>
          <w:szCs w:val="21"/>
        </w:rPr>
        <w:t>acji pomp ciepła leży w obowiązku Właściciela budynku u którego montowana jest dana instalacja.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N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ie przewiduje się wykonania instalacji uziemiającej.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eastAsia="Times New Roman" w:hAnsi="Calibri" w:cs="Calibri"/>
          <w:sz w:val="21"/>
          <w:szCs w:val="21"/>
          <w:lang w:eastAsia="pl-PL" w:bidi="ar-SA"/>
        </w:rPr>
        <w:t xml:space="preserve"> P</w:t>
      </w:r>
      <w:r>
        <w:rPr>
          <w:rFonts w:ascii="Calibri" w:hAnsi="Calibri"/>
          <w:sz w:val="21"/>
          <w:szCs w:val="21"/>
        </w:rPr>
        <w:t>rosimy o potwierdzenie, że obowiązkiem Beneficjenta jest Zapewnienie odbioru i odprow</w:t>
      </w:r>
      <w:r>
        <w:rPr>
          <w:rFonts w:ascii="Calibri" w:hAnsi="Calibri"/>
          <w:sz w:val="21"/>
          <w:szCs w:val="21"/>
        </w:rPr>
        <w:t>adzenia skroplin z pompy do kanalizacji.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Odprowadzenie skroplin w pomieszczeniu montażu pompy ciepła do instalacji kanalizacyjnej należy do wykonawcy. Wykonawca zapewni ewentualny syfon, rury instalacyjne, kształtki lub pompkę skroplin. Odprowad</w:t>
      </w:r>
      <w:r>
        <w:rPr>
          <w:rFonts w:ascii="Calibri" w:hAnsi="Calibri" w:cs="Liberation Serif"/>
          <w:color w:val="auto"/>
          <w:sz w:val="21"/>
          <w:szCs w:val="21"/>
        </w:rPr>
        <w:t>zenie będzie realizowane do kratki kanalizacyjnej lub nad umywalkę lub do instalacji kanalizacyjnej, w której możliwe jest włączenie skroplin(istnieje trójnik z wolnym krućcem przyłączeniowym). Odprowadzenie skroplin poza pomieszczenie montażu pompy ciepła</w:t>
      </w:r>
      <w:r>
        <w:rPr>
          <w:rFonts w:ascii="Calibri" w:hAnsi="Calibri" w:cs="Liberation Serif"/>
          <w:color w:val="auto"/>
          <w:sz w:val="21"/>
          <w:szCs w:val="21"/>
        </w:rPr>
        <w:t xml:space="preserve"> należy do Użytkownika.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podłączenie górnej wężownicy zasobnika pompy ciepła i kolektorów słonecznych leży po stronie Właściciela budynku u którego montowana jest dana instalacja.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Włączenie górnej wężownicy za</w:t>
      </w:r>
      <w:r>
        <w:rPr>
          <w:rFonts w:ascii="Calibri" w:hAnsi="Calibri" w:cs="Liberation Serif"/>
          <w:color w:val="auto"/>
          <w:sz w:val="21"/>
          <w:szCs w:val="21"/>
        </w:rPr>
        <w:t xml:space="preserve">sobnika solarnego oraz pompy ciepła należy do Wykonawcy.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dopuszcza w przypadku instalacji z pompami ciepła zastosowanie rur wielowarstwowych typu PEX łączonych na zasadzie złączek zaciskowych oraz rur PP łączonych przez zgrzewanie</w:t>
      </w:r>
      <w:r>
        <w:rPr>
          <w:rFonts w:ascii="Calibri" w:hAnsi="Calibri"/>
          <w:sz w:val="21"/>
          <w:szCs w:val="21"/>
        </w:rPr>
        <w:t>.</w:t>
      </w:r>
    </w:p>
    <w:p w:rsidR="00AC1AA2" w:rsidRDefault="00EF0242">
      <w:pPr>
        <w:pStyle w:val="Normalny1"/>
        <w:spacing w:after="170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Zamawiający wymaga rur PP stabilizowanych na zimnej wodzie, c.o. i CWU.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Zamawiającego o ponowną analizę zapisów umowy dotyczących haromonogramu rzeczowo-finansowego. Wzór umowy przedstawia, iż harmonogram powinien uwzględnić </w:t>
      </w:r>
      <w:r>
        <w:rPr>
          <w:rFonts w:ascii="Calibri" w:hAnsi="Calibri"/>
          <w:sz w:val="21"/>
          <w:szCs w:val="21"/>
        </w:rPr>
        <w:t>planowane daty wykonania poszczególnych instalacji, a także wartości poszczególnych instalacji.  Pragniemy wyjaśnić, że takie wymagania mogą powodować dużo komplikacji także po stronie Zamawiającego, ponieważ każda zmiana, w pojedynczej dostawie (także z w</w:t>
      </w:r>
      <w:r>
        <w:rPr>
          <w:rFonts w:ascii="Calibri" w:hAnsi="Calibri"/>
          <w:sz w:val="21"/>
          <w:szCs w:val="21"/>
        </w:rPr>
        <w:t xml:space="preserve">iny Użytkownika np. nieobecność, zmiana zestawu), będzie musiała skutkować dezorganizacja całości harmonogramu i dostaw także koniecznością wprowadzania szczegółowych zmian w harmonogramie. Szczególnie odczuwalne będzie to przy skali niniejszych zamówień. </w:t>
      </w:r>
      <w:r>
        <w:rPr>
          <w:rFonts w:ascii="Calibri" w:hAnsi="Calibri"/>
          <w:sz w:val="21"/>
          <w:szCs w:val="21"/>
        </w:rPr>
        <w:t>Wnosimy o zniesienie wskazanego zapisu umów, tak by harmonogram określał bardziej ogólny zakres prac i był użyteczny dla każdej ze stron inwestycji. Dodatkowo bardzo trudno ustalić jest daty montaży dla całości inwestycji przy jej rozpoczęciu ze względu na</w:t>
      </w:r>
      <w:r>
        <w:rPr>
          <w:rFonts w:ascii="Calibri" w:hAnsi="Calibri"/>
          <w:sz w:val="21"/>
          <w:szCs w:val="21"/>
        </w:rPr>
        <w:t xml:space="preserve"> dyspozycyjność Beneficjentów, a każda zmiana burzy pozostałe ustalenia.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 xml:space="preserve">Zamawiający dopuszcza prostszą formę harmonogramu rzeczowo-finansowego bez </w:t>
      </w:r>
      <w:r>
        <w:rPr>
          <w:rFonts w:ascii="Calibri" w:hAnsi="Calibri"/>
          <w:color w:val="auto"/>
          <w:sz w:val="21"/>
          <w:szCs w:val="21"/>
        </w:rPr>
        <w:lastRenderedPageBreak/>
        <w:t xml:space="preserve">podania dokładnego adresu, jedynie wielkość instalacji.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W załączonych do dokumentacji p</w:t>
      </w:r>
      <w:r>
        <w:rPr>
          <w:rFonts w:ascii="Calibri" w:hAnsi="Calibri"/>
          <w:sz w:val="21"/>
          <w:szCs w:val="21"/>
        </w:rPr>
        <w:t>rzetargowej projektach wykonawczych opisane są moduły fotowoltaiczne o mocy 270 W. Czy zamawiający dopuszcza  zastosowanie modułów o wyższej mocy jednostkowej w ilości zapewniającej  minimalną moc danej instalacji 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>Tak, Zamawiający dopuszcza, a</w:t>
      </w:r>
      <w:r>
        <w:rPr>
          <w:rFonts w:ascii="Calibri" w:hAnsi="Calibri" w:cs="Liberation Serif"/>
          <w:color w:val="auto"/>
          <w:sz w:val="21"/>
          <w:szCs w:val="21"/>
        </w:rPr>
        <w:t>le ilość modułów powinna być ta sama.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Czy Zamawiający wyraża zgodę na zastosowanie dla instalacji fotowoltaicznej o mocy 2,16kW falownika jednofazowego o sprawności europejskiej 97,0% przy spełnieniu pozostałych wymagań dla falowników? Podana w OP</w:t>
      </w:r>
      <w:r>
        <w:rPr>
          <w:rFonts w:ascii="Calibri" w:hAnsi="Calibri"/>
          <w:sz w:val="21"/>
          <w:szCs w:val="21"/>
        </w:rPr>
        <w:t>Z minimalna sprawność europejska falownika określona na poziomie 97,4 % dla instalacji PV o mocy 2,16kW jest bardzo wygórowaną wartością i może wskazywać na konkretnego jednego producenta co zgodnie PZP prowadzi do ograniczenia konkurencji.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wyraża zgodę.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wyraża zgodę na zastosowanie dla instalacji fotowoltaicznej o mocy 2,7kWfalownika jednofazowego o sprawności europejskiej 97,0% przy spełnieniu pozostałych wymagań dla falowników? Podana w OPZ minimalna s</w:t>
      </w:r>
      <w:r>
        <w:rPr>
          <w:rFonts w:ascii="Calibri" w:hAnsi="Calibri"/>
          <w:sz w:val="21"/>
          <w:szCs w:val="21"/>
        </w:rPr>
        <w:t>prawność europejska falownika określona na poziomie 97,5 % dla instalacji PV o mocy 2,7kW jest bardzo wygórowaną wartością i może wskazywać na konkretnego jednego producenta co zgodnie PZP prowadzi do ograniczenia konkurencji.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Tak, Zamawiający </w:t>
      </w:r>
      <w:r>
        <w:rPr>
          <w:rFonts w:ascii="Calibri" w:hAnsi="Calibri" w:cs="Liberation Serif"/>
          <w:color w:val="auto"/>
          <w:sz w:val="21"/>
          <w:szCs w:val="21"/>
        </w:rPr>
        <w:t>wyraża zgodę.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Zamawiający w rozdziale 5.6 SIWZ przewidział, że wykonawca, który w sposób zawiniony poważnie naruszył obowiązki zawodowe, co podważa jego uczciwość, w szczególności gdy wykonawca w wyniku zamierzonego działania lub rażącego niedbals</w:t>
      </w:r>
      <w:r>
        <w:rPr>
          <w:rFonts w:ascii="Calibri" w:hAnsi="Calibri"/>
          <w:sz w:val="21"/>
          <w:szCs w:val="21"/>
        </w:rPr>
        <w:t>twa nie wykonał lub nienależycie wykonał zamówienie, co zamawiający jest w stanie wykazać za pomocą stosownych środków dowodowych (art. 24 ust. 5 pkt 2 ustawy p.z.p.). Proszę o wyjaśnienie, czy w świetle pozostałych zapisów Specyfikacji wykluczeniu podlega</w:t>
      </w:r>
      <w:r>
        <w:rPr>
          <w:rFonts w:ascii="Calibri" w:hAnsi="Calibri"/>
          <w:sz w:val="21"/>
          <w:szCs w:val="21"/>
        </w:rPr>
        <w:t xml:space="preserve"> Wykonawca, który uzyskał zamówienie na podstawie przepisów ustawy, a następnie Zamawiający odstąpił od umowy o realizację przedmiotowego zamówienia na podstawie takich okoliczności, że Wykonawca nie rozpoczął prac lub przerwał prace i nie wznowił ich mimo</w:t>
      </w:r>
      <w:r>
        <w:rPr>
          <w:rFonts w:ascii="Calibri" w:hAnsi="Calibri"/>
          <w:sz w:val="21"/>
          <w:szCs w:val="21"/>
        </w:rPr>
        <w:t xml:space="preserve"> wezwań Zamawiającego, a naruszenie obowiązków zostało stwierdzone prawomocnym wyrokiem sądu?”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Odpowiedź: </w:t>
      </w:r>
      <w:r>
        <w:rPr>
          <w:rFonts w:ascii="Calibri" w:hAnsi="Calibri" w:cs="Liberation Serif"/>
          <w:bCs/>
          <w:color w:val="auto"/>
          <w:sz w:val="21"/>
          <w:szCs w:val="21"/>
        </w:rPr>
        <w:t>Zamawiający informuje, że wszelkie podstawy wykluczenia Wykonawcy zostały określone w SIWZ. Zamawiający nie zna okoliczności faktycznych i prawnych od</w:t>
      </w:r>
      <w:r>
        <w:rPr>
          <w:rFonts w:ascii="Calibri" w:hAnsi="Calibri" w:cs="Liberation Serif"/>
          <w:bCs/>
          <w:color w:val="auto"/>
          <w:sz w:val="21"/>
          <w:szCs w:val="21"/>
        </w:rPr>
        <w:t>stąpienia od umowy, a Wykonawca może skorzystać z instytucji „samooczyszczenia”. Oceny „samooczyszczenia” dokona Zamawiający na etapie oceny ofert na podstawie przedstawionych przez Wykonawcę oświadczeń i dokumentów.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 w:cs="Liberation Serif"/>
          <w:sz w:val="21"/>
          <w:szCs w:val="21"/>
        </w:rPr>
        <w:t>Prosimy o informację jakie par</w:t>
      </w:r>
      <w:r>
        <w:rPr>
          <w:rFonts w:ascii="Calibri" w:hAnsi="Calibri" w:cs="Liberation Serif"/>
          <w:sz w:val="21"/>
          <w:szCs w:val="21"/>
        </w:rPr>
        <w:t xml:space="preserve">ametry ma spełniać ochronnik </w:t>
      </w:r>
      <w:r>
        <w:rPr>
          <w:rFonts w:ascii="Calibri" w:hAnsi="Calibri"/>
          <w:sz w:val="21"/>
          <w:szCs w:val="21"/>
        </w:rPr>
        <w:t>przepięć zastosowany dla obwodu stałoprądowych (DC) i zmiennoprądowych (AC)?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Patrz odpowiedź na pyt 16 i 17.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Czy Zamawiający wyrazi zgodę i wymaga zastosowania wyłącznika bezpiecznikowego z odpowiedni </w:t>
      </w:r>
      <w:r>
        <w:rPr>
          <w:rFonts w:ascii="Calibri" w:hAnsi="Calibri"/>
          <w:sz w:val="21"/>
          <w:szCs w:val="21"/>
        </w:rPr>
        <w:t>dobranymi wkładkami do zabezpieczenia każdego z łańcuchów instalacji?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wyraża zgodę.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Czy Zamawiający wymaga zastosowania wyłącznika różnicowo prądowego?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wyraża zgodę.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</w:t>
      </w:r>
      <w:r>
        <w:rPr>
          <w:rFonts w:ascii="Calibri" w:hAnsi="Calibri"/>
          <w:sz w:val="21"/>
          <w:szCs w:val="21"/>
        </w:rPr>
        <w:t>ację, czy wyłącznik różnicowoprądowy ma być w klasie A – jeżeli jest tak potrzeba?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 takie rozwiązanie. Dobór RCD będzie należał do Wykonawcy na podstawie parametrów inwertera.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informację, czy prąd wyłączen</w:t>
      </w:r>
      <w:r>
        <w:rPr>
          <w:rFonts w:ascii="Calibri" w:hAnsi="Calibri"/>
          <w:sz w:val="21"/>
          <w:szCs w:val="21"/>
        </w:rPr>
        <w:t>iowy wyłącznik różnicowoprądowy ma wynosić 100mA – jeżeli jest tak potrzeba?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rFonts w:ascii="Calibri" w:hAnsi="Calibri" w:cs="Liberation Serif"/>
          <w:strike/>
          <w:color w:val="0000FF"/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 takie rozwiązanie. Dobór RCD będzie należał do Wykonawcy na podstawie parametrów inwertera.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o informację, czy Zamawiający zaakcept</w:t>
      </w:r>
      <w:r>
        <w:rPr>
          <w:rFonts w:ascii="Calibri" w:hAnsi="Calibri"/>
          <w:sz w:val="21"/>
          <w:szCs w:val="21"/>
        </w:rPr>
        <w:t>uje wyłącznik różnicowo prądowy o prądzie udarowym 6kA – jeżeli jest tak potrzeba?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rFonts w:ascii="Calibri" w:hAnsi="Calibri" w:cs="Liberation Serif"/>
          <w:strike/>
          <w:color w:val="0000FF"/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 takie rozwiązanie. Dobór RCD będzie należał do Wykonawcy na podstawie parametrów inwertera.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o informację, czy Zamawiający za</w:t>
      </w:r>
      <w:r>
        <w:rPr>
          <w:rFonts w:ascii="Calibri" w:hAnsi="Calibri"/>
          <w:sz w:val="21"/>
          <w:szCs w:val="21"/>
        </w:rPr>
        <w:t>akceptuje wyłącznik różnicowo prądowy o prądzie udarowym 10kA – jeżeli jest tak potrzeba.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rFonts w:ascii="Calibri" w:hAnsi="Calibri" w:cs="Liberation Serif"/>
          <w:strike/>
          <w:color w:val="0000FF"/>
          <w:sz w:val="21"/>
          <w:szCs w:val="21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 Z</w:t>
      </w:r>
      <w:r>
        <w:rPr>
          <w:rFonts w:ascii="Calibri" w:hAnsi="Calibri" w:cs="Liberation Serif"/>
          <w:color w:val="auto"/>
          <w:sz w:val="21"/>
          <w:szCs w:val="21"/>
        </w:rPr>
        <w:t>amawiający dopuszcza takie rozwiązanie. Dobór RCD będzie należał do Wykonawcy na podstawie parametrów inwertera.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o informację, czy Zamawia</w:t>
      </w:r>
      <w:r>
        <w:rPr>
          <w:rFonts w:ascii="Calibri" w:hAnsi="Calibri"/>
          <w:sz w:val="21"/>
          <w:szCs w:val="21"/>
        </w:rPr>
        <w:t>jący wymaga, aby wyłącznik nadprądowy był w klasie charakterystyki B czy C?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  <w:u w:val="single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Zamawiający dopuszcza klasę B.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o informację, czy Zamawiający zaakceptuje wyłącznik nadprądowy o prądzie udarowym 6kA?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Pytanie zawiera pomies</w:t>
      </w:r>
      <w:r>
        <w:rPr>
          <w:rFonts w:ascii="Calibri" w:hAnsi="Calibri" w:cs="Liberation Serif"/>
          <w:color w:val="auto"/>
          <w:sz w:val="21"/>
          <w:szCs w:val="21"/>
        </w:rPr>
        <w:t>zane parametry z bezpieczników i ograniczników przepięć zapewne chodziło o „Znamionowa zwarciowa zdolność łączeniowa zgodnie z EN 60898 [kA]”.  Szczegółowy dobór bezpieczników będzie na etapie akceptacji materiałów.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o informację, czy Zamawi</w:t>
      </w:r>
      <w:r>
        <w:rPr>
          <w:rFonts w:ascii="Calibri" w:hAnsi="Calibri"/>
          <w:sz w:val="21"/>
          <w:szCs w:val="21"/>
        </w:rPr>
        <w:t>ający zaakceptuje wyłącznik nadprądowy o prądzie udarowym 10kA?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Pytanie zawiera pomieszane parametry z bezpieczników i ograniczników przepięć zapewne chodziło o „Znamionowa zwarciowa zdolność łączeniowa zgodnie z EN 60898 [kA]”.  Szczegółowy dob</w:t>
      </w:r>
      <w:r>
        <w:rPr>
          <w:rFonts w:ascii="Calibri" w:hAnsi="Calibri" w:cs="Liberation Serif"/>
          <w:color w:val="auto"/>
          <w:sz w:val="21"/>
          <w:szCs w:val="21"/>
        </w:rPr>
        <w:t>ór bezpieczników będzie na etapie akceptacji materiałów.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po czyjej stronie jest wykonanie/modernizacja instalacji odgromowych na obiektach mieszkalnych?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 W przypadkach określonych w SIWZ wykonanie instalacji odgromowej leży po stronie Wykonawcy (dot. części I i II).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W pozostałych przypadkach nie przewiduje się wykonania/modernizacji tej instalacji.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>Pytanie:</w:t>
      </w:r>
      <w:r>
        <w:rPr>
          <w:rFonts w:ascii="Calibri" w:hAnsi="Calibri"/>
          <w:sz w:val="21"/>
          <w:szCs w:val="21"/>
        </w:rPr>
        <w:t xml:space="preserve"> Prosimy Zamawiającego o potwierdzenie, iż wykonanie instalacji odgromowej leży po stronie Właściciela obiektu?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W przypadkach określonych w S</w:t>
      </w:r>
      <w:r>
        <w:rPr>
          <w:rFonts w:ascii="Calibri" w:hAnsi="Calibri" w:cs="Liberation Serif"/>
          <w:color w:val="auto"/>
          <w:sz w:val="21"/>
          <w:szCs w:val="21"/>
        </w:rPr>
        <w:t>IWZ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 wykonanie instalacji odgromowej leży po stronie Wykonawcy (dot. części I i II).  W pozostałych przyp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adkach nie przewiduje się wykonania/modernizacji tej instalacji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zamawiający wyrazi na zastosowanie ochronników przepięciowych typu T2 po stronie stało prądowej o wartości In (8/20) μs – 15 kA na biegun?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</w:t>
      </w:r>
      <w:r>
        <w:rPr>
          <w:rFonts w:ascii="Calibri" w:hAnsi="Calibri" w:cs="Liberation Serif"/>
          <w:color w:val="auto"/>
          <w:sz w:val="21"/>
          <w:szCs w:val="21"/>
        </w:rPr>
        <w:t>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zamawiający wyrazi na zastosowanie ochronników przepięciowych typu T2 po stronie stało prądowej o wartości Itotal (8/20) μs – 30 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</w:t>
      </w:r>
      <w:r>
        <w:rPr>
          <w:rFonts w:ascii="Calibri" w:hAnsi="Calibri"/>
          <w:sz w:val="21"/>
          <w:szCs w:val="21"/>
        </w:rPr>
        <w:t>my o informację czy Zamawiający wymaga zastosowania na wszystkich instalacjach ochronników przepięć T1+T2?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przypadku zastosowania ochronników przepięciowych SPD typu T1+T2 Zamawiający dopuści oc</w:t>
      </w:r>
      <w:r>
        <w:rPr>
          <w:rFonts w:ascii="Calibri" w:hAnsi="Calibri"/>
          <w:sz w:val="21"/>
          <w:szCs w:val="21"/>
        </w:rPr>
        <w:t>hronnik po stronie stało prądowej o wartości Iimp (10/350) μs – 5kA na biegun?</w:t>
      </w:r>
    </w:p>
    <w:p w:rsidR="00AC1AA2" w:rsidRDefault="00EF0242">
      <w:pPr>
        <w:pStyle w:val="Normalny1"/>
        <w:spacing w:after="283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…Patrz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przypadku zastosowania ochronników przepięciowych SPD typu T1+T2 Zamawiający dopuści ochronnik po stronie stało pr</w:t>
      </w:r>
      <w:r>
        <w:rPr>
          <w:rFonts w:ascii="Calibri" w:hAnsi="Calibri"/>
          <w:sz w:val="21"/>
          <w:szCs w:val="21"/>
        </w:rPr>
        <w:t>ądowej o wartości Itotal (10/350) μs – 10 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informację czy zamawiający wyrazi na zastosowanie ochronników przepięciowych typu T2 po stronie zmiennoprądowej o wartości In (8/20) μs – 15 kA </w:t>
      </w:r>
      <w:r>
        <w:rPr>
          <w:rFonts w:ascii="Calibri" w:hAnsi="Calibri"/>
          <w:sz w:val="21"/>
          <w:szCs w:val="21"/>
        </w:rPr>
        <w:t>na biegun?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zamawiający wyrazi na zastosowanie ochronników przepięciowych typu T2 po stronie zmiennoprądowej o wartości Itotal (8/20) μs – 30 kA dla instalacji 1 – fazowej?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zamawiający wyrazi na zastosowanie ochronników przepięciowych typu T2 po stronie zmiennoprądowej o wartości Itotal (8/20) μs – 60 kA dla instalacji 3 – fazowej?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</w:t>
      </w:r>
      <w:r>
        <w:rPr>
          <w:rFonts w:ascii="Calibri" w:hAnsi="Calibri" w:cs="Liberation Serif"/>
          <w:color w:val="auto"/>
          <w:sz w:val="21"/>
          <w:szCs w:val="21"/>
        </w:rPr>
        <w:t>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przypadku zastosowania ochronników przepięciowych SPD typu T1+T2 Zamawiający dopuści ochronnik po stronie zmiennoprądowej o wartości Iimp (10/350) μs – 5kA na biegun?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Patrz odpowiedź na pytanie 16 </w:t>
      </w:r>
      <w:r>
        <w:rPr>
          <w:rFonts w:ascii="Calibri" w:hAnsi="Calibri" w:cs="Liberation Serif"/>
          <w:color w:val="auto"/>
          <w:sz w:val="21"/>
          <w:szCs w:val="21"/>
        </w:rPr>
        <w:t>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przypadku zastosowania ochronników przepięciowych SPD typu T1+T2 Zamawiający dopuści ochronnik po stronie zmiennoprądowej o wartości Itotal (10/350) μs – 10 kA dla instalacji 1 – fazowej,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w przypadku zastosowania ochronników przepięciowych SPD typu T1+T2 Zamawiający dopuści ochronnik po stronie zmienno prądowej o wartości Itotal (10/350) μs – 40 kA dla instalacji 3 – fazowej.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16 i 17.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W związku ze mieniającym się rynkiem modułów fotowoltaicznych i wprowadzeniem coraz większym mocy instalacji zwracamy się z prośbą o wyrażenie zgody na dopuszczenie modułów fotowoltaicznych wyższych mocach, niż 270Wp i innych parametrach elektrycz</w:t>
      </w:r>
      <w:r>
        <w:rPr>
          <w:rFonts w:ascii="Calibri" w:hAnsi="Calibri"/>
          <w:sz w:val="21"/>
          <w:szCs w:val="21"/>
        </w:rPr>
        <w:t xml:space="preserve">nych. Przy jednoczesnym zachowaniu minimalnej mocy poszczególnych instalacji i nie odbiegania od standardów jakości modułów </w:t>
      </w:r>
      <w:r>
        <w:rPr>
          <w:rFonts w:ascii="Calibri" w:hAnsi="Calibri"/>
          <w:sz w:val="21"/>
          <w:szCs w:val="21"/>
        </w:rPr>
        <w:lastRenderedPageBreak/>
        <w:t>zapisanych w PFU.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W opisie przedmiotu zamówienia brak jest PFU. Zamawiający dopuszcza zastosowanie modułów o wyższej mocy</w:t>
      </w:r>
      <w:r>
        <w:rPr>
          <w:rFonts w:ascii="Calibri" w:hAnsi="Calibri" w:cs="Liberation Serif"/>
          <w:color w:val="auto"/>
          <w:sz w:val="21"/>
          <w:szCs w:val="21"/>
        </w:rPr>
        <w:t xml:space="preserve"> ale ilość modułów powinna być ta sama</w:t>
      </w:r>
      <w:r>
        <w:rPr>
          <w:rFonts w:ascii="Calibri" w:hAnsi="Calibri"/>
          <w:color w:val="auto"/>
          <w:sz w:val="21"/>
          <w:szCs w:val="21"/>
        </w:rPr>
        <w:t>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Proszę Zamawiającego o informację po czyjej stronie leży dostarczenie usługi połączenia z siecią Internet na obiektach mieszkalnych takiej usługi?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>Mieszkaniec/użytkownik zapewnia dostęp do sieci i</w:t>
      </w:r>
      <w:r>
        <w:rPr>
          <w:rFonts w:ascii="Calibri" w:hAnsi="Calibri"/>
          <w:color w:val="auto"/>
          <w:sz w:val="21"/>
          <w:szCs w:val="21"/>
        </w:rPr>
        <w:t>nternetowej natomiast po stronie Wykonawcy jest ewentualne wzmocnienie tego sygnału i uruchomienie komunikacji i wizualizacji, o ile jest to możliwe technicznie.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potwierdzenie, iż w przypadku braku możliwości połączenia z z</w:t>
      </w:r>
      <w:r>
        <w:rPr>
          <w:rFonts w:ascii="Calibri" w:hAnsi="Calibri"/>
          <w:sz w:val="21"/>
          <w:szCs w:val="21"/>
        </w:rPr>
        <w:t>ewnętrza siecią Internet u Beneficjenta, Wykonawca wykona podstawową konfigurację siecią falownika. Sama wewnętrzna konfiguracja sieciowa na obiekcie leży w gestii właściciela obiektu?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Patrz odpowiedź na pytanie 1</w:t>
      </w:r>
      <w:r>
        <w:rPr>
          <w:rFonts w:ascii="Calibri" w:hAnsi="Calibri" w:cs="Liberation Serif"/>
          <w:color w:val="auto"/>
          <w:sz w:val="21"/>
          <w:szCs w:val="21"/>
        </w:rPr>
        <w:t>50</w:t>
      </w:r>
      <w:r>
        <w:rPr>
          <w:rFonts w:ascii="Calibri" w:hAnsi="Calibri" w:cs="Liberation Serif"/>
          <w:color w:val="auto"/>
          <w:sz w:val="21"/>
          <w:szCs w:val="21"/>
        </w:rPr>
        <w:t>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</w:t>
      </w:r>
      <w:r>
        <w:rPr>
          <w:rFonts w:ascii="Calibri" w:hAnsi="Calibri"/>
          <w:sz w:val="21"/>
          <w:szCs w:val="21"/>
        </w:rPr>
        <w:t>go o potwierdzenie, iż po stronie Wykonawcy leży konfiguracja połączenia monitoringu instalacji fotowoltaicznej z istniejącą infrastrukturą sieci na obiekcie mieszkalnym. W przypadku braku takiej infrastruktury jej wykonanie leży po stronie Wykonawcy?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</w:t>
      </w: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wiedź: </w:t>
      </w:r>
      <w:r>
        <w:rPr>
          <w:rFonts w:ascii="Calibri" w:hAnsi="Calibri" w:cs="Liberation Serif"/>
          <w:color w:val="auto"/>
          <w:sz w:val="21"/>
          <w:szCs w:val="21"/>
        </w:rPr>
        <w:t>Patrz odpowiedź na pytanie 1</w:t>
      </w:r>
      <w:r>
        <w:rPr>
          <w:rFonts w:ascii="Calibri" w:hAnsi="Calibri" w:cs="Liberation Serif"/>
          <w:color w:val="auto"/>
          <w:sz w:val="21"/>
          <w:szCs w:val="21"/>
        </w:rPr>
        <w:t>50</w:t>
      </w:r>
      <w:r>
        <w:rPr>
          <w:rFonts w:ascii="Calibri" w:hAnsi="Calibri" w:cs="Liberation Serif"/>
          <w:color w:val="auto"/>
          <w:sz w:val="21"/>
          <w:szCs w:val="21"/>
        </w:rPr>
        <w:t>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Proszę Zamawiającego o informację w jaki sposób ma być rozwiązana kwestia przesyłu danych z monitoringu zamontowanych instalacji. Prosimy o sprecyzowanie konkretnej topologii, czy leży to w kwestii wykonawcy </w:t>
      </w:r>
      <w:r>
        <w:rPr>
          <w:rFonts w:ascii="Calibri" w:hAnsi="Calibri"/>
          <w:sz w:val="21"/>
          <w:szCs w:val="21"/>
        </w:rPr>
        <w:t>i zostanie ustalona osobna na każdym obiekcie z nieuwzględnieniem możliwości technicznych danego obiektu?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Przesył danych będzie uzgodniony na etapie wykonawstwa, w chwili obecnej Zamawiający nie zna producentów i produktów poszczególnych urządze</w:t>
      </w:r>
      <w:r>
        <w:rPr>
          <w:rFonts w:ascii="Calibri" w:hAnsi="Calibri" w:cs="Liberation Serif"/>
          <w:color w:val="auto"/>
          <w:sz w:val="21"/>
          <w:szCs w:val="21"/>
        </w:rPr>
        <w:t xml:space="preserve">ń i nie może w tym zakresie wyznaczać ram  i parametrów.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informacje po czyjej stronie będzie ewentualne wzmocnienie konstrukcji więźby dachowej budynku w przypadku stwierdzenia złego stanu technicznego obiektu.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Ewentualne wzm</w:t>
      </w:r>
      <w:r>
        <w:rPr>
          <w:rFonts w:ascii="Calibri" w:hAnsi="Calibri" w:cs="Liberation Serif"/>
          <w:color w:val="auto"/>
          <w:sz w:val="21"/>
          <w:szCs w:val="21"/>
        </w:rPr>
        <w:t>ocnienie konstrukcji więźby dachowej budynku należy do Użytkownika.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informacje, czy przygotowanie miejsca montaży pod konstrukcję instalacji fotowoltaicznej na gruncie (wyrównanie terenu przygotowanie bloczków betonowych) l</w:t>
      </w:r>
      <w:r>
        <w:rPr>
          <w:rFonts w:ascii="Calibri" w:hAnsi="Calibri"/>
          <w:sz w:val="21"/>
          <w:szCs w:val="21"/>
        </w:rPr>
        <w:t>eży po stronie Właściciela obiektu?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>Przygotowanie podłoża, wykopy i obciążenia dla konstrukcji i postumentu pod montaż kolektorów lub instalacji fotowoltaicznych leży po stronie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Zamawiającego o informację czy zezwala </w:t>
      </w:r>
      <w:r>
        <w:rPr>
          <w:rFonts w:ascii="Calibri" w:hAnsi="Calibri"/>
          <w:sz w:val="21"/>
          <w:szCs w:val="21"/>
        </w:rPr>
        <w:t>on prowadzenie przewodów solarnych i zasilających w poszczególnych obiektach mieszkańców w rurkach elektroinstalacyjnych RL.</w:t>
      </w:r>
    </w:p>
    <w:p w:rsidR="00AC1AA2" w:rsidRDefault="00EF0242">
      <w:pPr>
        <w:pStyle w:val="Normalny1"/>
        <w:spacing w:after="227" w:line="276" w:lineRule="auto"/>
        <w:ind w:left="777"/>
        <w:jc w:val="both"/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dopuszcza stosowanie r</w:t>
      </w:r>
      <w:hyperlink r:id="rId8" w:tgtFrame="Rury elektroinstalacyjne gładkie z tworzywa">
        <w:r>
          <w:rPr>
            <w:rFonts w:ascii="Calibri" w:hAnsi="Calibri" w:cs="Liberation Serif"/>
            <w:color w:val="auto"/>
            <w:sz w:val="21"/>
            <w:szCs w:val="21"/>
          </w:rPr>
          <w:t>ur elektroinstalacyjnych twardych gładkich z tworzywa</w:t>
        </w:r>
      </w:hyperlink>
      <w:r>
        <w:rPr>
          <w:rFonts w:ascii="Calibri" w:hAnsi="Calibri" w:cs="Liberation Serif"/>
          <w:color w:val="auto"/>
          <w:sz w:val="21"/>
          <w:szCs w:val="21"/>
        </w:rPr>
        <w:t>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czy Zamawiaczy dopuści zastosowanie środków chemiczny zmierzające rezystan</w:t>
      </w:r>
      <w:r>
        <w:rPr>
          <w:rFonts w:ascii="Calibri" w:hAnsi="Calibri"/>
          <w:sz w:val="21"/>
          <w:szCs w:val="21"/>
        </w:rPr>
        <w:t>cje gruntu w przypadku braku możliwości wbicia uziomu lub słabej rezystywności gruntu?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nie dopuszcza.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informacje czy Zamawiający wymaga zastosowania naklejek z nazwą inwestycji/ zadania? Jeżeli tak to jaka ma być f</w:t>
      </w:r>
      <w:r>
        <w:rPr>
          <w:rFonts w:ascii="Calibri" w:hAnsi="Calibri"/>
          <w:sz w:val="21"/>
          <w:szCs w:val="21"/>
        </w:rPr>
        <w:t>orma i na czym ma być wykonana taka naklejka?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lastRenderedPageBreak/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wymaga oznakowania przez Wykonawcę urządzeń. Naklejki powinny być zgodne z wytycznymi właściwego programu operacyjnego. Materiały powinny zostać naklejone/zamieszczone na urządzeniach. Wy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konanie naklejek i ich umieszczenie należy do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informację czy w przypadku nieuzasadnionego wezwania serwisu do awarii nie podlegającego zakresowi Zamówienia koszty takiego przyjazdu pokryje Beneficjent?</w:t>
      </w:r>
    </w:p>
    <w:p w:rsidR="00AC1AA2" w:rsidRDefault="00EF0242">
      <w:pPr>
        <w:widowControl w:val="0"/>
        <w:spacing w:after="227" w:line="276" w:lineRule="auto"/>
        <w:ind w:left="777"/>
        <w:jc w:val="both"/>
        <w:rPr>
          <w:rFonts w:hint="eastAsia"/>
        </w:rPr>
      </w:pPr>
      <w:r>
        <w:rPr>
          <w:rFonts w:ascii="Calibri" w:hAnsi="Calibri" w:cs="Liberation Serif"/>
          <w:b/>
          <w:bCs/>
          <w:sz w:val="21"/>
          <w:szCs w:val="21"/>
          <w:u w:val="single"/>
        </w:rPr>
        <w:t xml:space="preserve">Odpowiedź: </w:t>
      </w:r>
      <w:r>
        <w:rPr>
          <w:rFonts w:ascii="Calibri" w:eastAsia="Arial Unicode MS" w:hAnsi="Calibri" w:cs="Liberation Serif"/>
          <w:sz w:val="21"/>
          <w:szCs w:val="21"/>
          <w:lang w:bidi="ar-SA"/>
        </w:rPr>
        <w:t xml:space="preserve">Szczegółowe uregulowania dotyczące warunków gwarancji i serwisu opisane zostały we wzorze karty gwarancyjnej. </w:t>
      </w:r>
      <w:r>
        <w:rPr>
          <w:rFonts w:ascii="Calibri" w:hAnsi="Calibri" w:cs="Calibri"/>
          <w:sz w:val="21"/>
          <w:szCs w:val="21"/>
        </w:rPr>
        <w:t xml:space="preserve">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color w:val="000000"/>
          <w:sz w:val="21"/>
          <w:szCs w:val="21"/>
        </w:rPr>
        <w:t xml:space="preserve">Prosimy Zamawiającego o informacje, iż w przypadku rezygnacji któregoś z Beneficjentów z </w:t>
      </w:r>
      <w:r>
        <w:rPr>
          <w:rFonts w:ascii="Calibri" w:hAnsi="Calibri"/>
          <w:sz w:val="21"/>
          <w:szCs w:val="21"/>
        </w:rPr>
        <w:t xml:space="preserve">załączonej listy obiektów posiada </w:t>
      </w:r>
      <w:r>
        <w:rPr>
          <w:rFonts w:ascii="Calibri" w:hAnsi="Calibri"/>
          <w:sz w:val="21"/>
          <w:szCs w:val="21"/>
        </w:rPr>
        <w:t>odpowiednią listę osób rezerwowych na ich miejsce?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posiada listę rezerwową uczestników.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iż Zamawiający wyraża zgodę na wpięcie się instalacji fotowoltaicznej w gniazdko siłowe lub bezpośrednio w pusz</w:t>
      </w:r>
      <w:r>
        <w:rPr>
          <w:rFonts w:ascii="Calibri" w:hAnsi="Calibri"/>
          <w:sz w:val="21"/>
          <w:szCs w:val="21"/>
        </w:rPr>
        <w:t>kę przyłączeniową najbliżej zlokalizowaną miejsca montażu falownika?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Wpięcie powinno zapewniać prawidłowy przepływ prądu,  odpowiedni przewód oraz z pominięciem istniejących RCD na obiekcie.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wymaga aby, falownik był zam</w:t>
      </w:r>
      <w:r>
        <w:rPr>
          <w:rFonts w:ascii="Calibri" w:hAnsi="Calibri"/>
          <w:sz w:val="21"/>
          <w:szCs w:val="21"/>
        </w:rPr>
        <w:t>ontowany na obiekcie mieszkalnym, czy może być zamontowany na zewnątrz pod warunkiem zgody Właściciela obiektu.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Miejsce montażu inwertera powinno być uzgodnione z właścicielem i posiadać jego akceptację. Powinno być przewidziane odpowiednie miej</w:t>
      </w:r>
      <w:r>
        <w:rPr>
          <w:rFonts w:ascii="Calibri" w:hAnsi="Calibri" w:cs="Liberation Serif"/>
          <w:color w:val="auto"/>
          <w:sz w:val="21"/>
          <w:szCs w:val="21"/>
        </w:rPr>
        <w:t xml:space="preserve">sce zgodnie z wymaganiami producenta inwertera.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potwierdzenie, iż w skład dostawy instalacji nie wchodzi montaż dodatkowego układu pomiarowego tylko możliwość prezentacji danych na wyświetlaczu wbudowanym w falownik? Pragn</w:t>
      </w:r>
      <w:r>
        <w:rPr>
          <w:rFonts w:ascii="Calibri" w:hAnsi="Calibri"/>
          <w:sz w:val="21"/>
          <w:szCs w:val="21"/>
        </w:rPr>
        <w:t>iemy zauważyć iż obecnie nie jest potrzebny montażu zewnętrznych układów pomiarowych z uwagi na wbudowany system pomiaru i prezentacji tych który jest bardziej rzeczywisty od zewnętrznego tańszego układu pomiarowego.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Tak, Zamawiający potwierdza.</w:t>
      </w:r>
      <w:r>
        <w:rPr>
          <w:rFonts w:ascii="Calibri" w:hAnsi="Calibri" w:cs="Liberation Serif"/>
          <w:color w:val="auto"/>
          <w:sz w:val="21"/>
          <w:szCs w:val="21"/>
        </w:rPr>
        <w:t xml:space="preserve">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Zamawiający ma potwierdzone dla przynajmniej 90% instalacji z przygotowanej listy montaży zgody od Beneficjentów/Właścicieli obiektów na montaż instalacji fotowoltaicznych/solarnych.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 xml:space="preserve">Zamawiający posiada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listę uczestników, u których będzie montaż kolektorów słonecznych i instalacji fotowoltaicznych.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 przewiduje możliwość przedłużenia terminu w przypadku problemów ze znalezieniem wymaganej liczby dodatkowych osób na etapie realizacji</w:t>
      </w:r>
      <w:r>
        <w:rPr>
          <w:rFonts w:ascii="Calibri" w:hAnsi="Calibri"/>
          <w:sz w:val="21"/>
          <w:szCs w:val="21"/>
        </w:rPr>
        <w:t xml:space="preserve"> zmówienia?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eastAsia="Times New Roman" w:hAnsi="Calibri" w:cs="Liberation Serif"/>
          <w:color w:val="auto"/>
          <w:sz w:val="21"/>
          <w:szCs w:val="21"/>
          <w:lang w:eastAsia="pl-PL"/>
        </w:rPr>
        <w:t>Zamawiający posiada listę rezerwową uczestników w związku z czym nie przewiduje wydłużenia terminu realizacji.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informację po czyjej stronie leży uzyskanie zgody kominiarskiej na wykorzystanie szachtu wentylacyjnego</w:t>
      </w:r>
      <w:r>
        <w:rPr>
          <w:rFonts w:ascii="Calibri" w:hAnsi="Calibri"/>
          <w:sz w:val="21"/>
          <w:szCs w:val="21"/>
        </w:rPr>
        <w:t xml:space="preserve"> na obiekcie objętymi zamówieniem?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/>
          <w:color w:val="auto"/>
          <w:sz w:val="21"/>
          <w:szCs w:val="21"/>
        </w:rPr>
        <w:t>Uzyskanie opinii i zgody kominiarskich należy do Wykonawcy.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potwierdzenie minimalnej gwarancji na moduły fotowoltaiczne oraz falownik </w:t>
      </w:r>
      <w:r>
        <w:rPr>
          <w:rFonts w:ascii="Calibri" w:hAnsi="Calibri"/>
          <w:sz w:val="21"/>
          <w:szCs w:val="21"/>
        </w:rPr>
        <w:lastRenderedPageBreak/>
        <w:t>(inwerter)?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color w:val="auto"/>
          <w:sz w:val="21"/>
          <w:szCs w:val="21"/>
        </w:rPr>
        <w:t xml:space="preserve"> Minimalny okres gwarancji gwarancj</w:t>
      </w:r>
      <w:r>
        <w:rPr>
          <w:rFonts w:ascii="Calibri" w:hAnsi="Calibri" w:cs="Liberation Serif"/>
          <w:color w:val="auto"/>
          <w:sz w:val="21"/>
          <w:szCs w:val="21"/>
        </w:rPr>
        <w:t>i  na moduły fotowoltaiczne oraz falowniki zostały określone w formularzu ofertowym oraz we wzorze karty gwarancyjnej i wynoszą 120 miesięcy. Okres gwarancji liczony jest od dnia podpisania przez Zamawiającego (bez uwag) protokołu odbioru końcowego zamówie</w:t>
      </w:r>
      <w:r>
        <w:rPr>
          <w:rFonts w:ascii="Calibri" w:hAnsi="Calibri" w:cs="Liberation Serif"/>
          <w:color w:val="auto"/>
          <w:sz w:val="21"/>
          <w:szCs w:val="21"/>
        </w:rPr>
        <w:t>nia.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color w:val="000000"/>
          <w:sz w:val="21"/>
          <w:szCs w:val="21"/>
        </w:rPr>
        <w:t>Prosimy Zamawiającego o potwierdzenie, iż w skład zamówienia nie wchodzi montaż optymalizatorów mocy?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 xml:space="preserve">Odpowiedź:  </w:t>
      </w:r>
      <w:r>
        <w:rPr>
          <w:rFonts w:ascii="Calibri" w:hAnsi="Calibri" w:cs="Liberation Serif"/>
          <w:color w:val="000000"/>
          <w:sz w:val="21"/>
          <w:szCs w:val="21"/>
        </w:rPr>
        <w:t>W skład zamówienia nie wchodzi montaż optymalizatorów mocy.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potwierdzenie, iż będzie on wymagał</w:t>
      </w:r>
      <w:r>
        <w:rPr>
          <w:rFonts w:ascii="Calibri" w:hAnsi="Calibri"/>
          <w:sz w:val="21"/>
          <w:szCs w:val="21"/>
        </w:rPr>
        <w:t xml:space="preserve"> aby sprawność europejska zaproponowanych falowników dla instalacji 1-dno i 3-rzy fazowych była nie mniejsza, niż w zapisanej punktu 17.1.5 SIWZ.?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Zgodnie z odpowiedzią na pytanie 123 i 124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 Zamawiającego iż w za</w:t>
      </w:r>
      <w:r>
        <w:rPr>
          <w:rFonts w:ascii="Calibri" w:hAnsi="Calibri"/>
          <w:sz w:val="21"/>
          <w:szCs w:val="21"/>
        </w:rPr>
        <w:t>pisie „Licznik energii” w 5.5.3 SIWZ „Doświadczenia i referencje” rozumie licznik energii dwukierunkowy zamontowany przez Zakład Energetyczny. Pragniemy dodać iż z uwagi na obecne przepisy nie jest wymagany montaż dodatkowego układu pomiarowego a zastąpion</w:t>
      </w:r>
      <w:r>
        <w:rPr>
          <w:rFonts w:ascii="Calibri" w:hAnsi="Calibri"/>
          <w:sz w:val="21"/>
          <w:szCs w:val="21"/>
        </w:rPr>
        <w:t>o pomiarem ilości energii wyprodukowanej z samego falownika i zamontowanego monitoringu instalacji?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potwierdza.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Zamawiającego o dopuszczenie Kolektorów słonecznych o współczynniku a1 nie większym niż 3.6 przy założen</w:t>
      </w:r>
      <w:r>
        <w:rPr>
          <w:rFonts w:ascii="Calibri" w:hAnsi="Calibri"/>
          <w:sz w:val="21"/>
          <w:szCs w:val="21"/>
        </w:rPr>
        <w:t>iu iż zastosowany kolektor będzie posiadał większą sprawność oraz jednostkowo większą moc produkcyjną z jego powierzchni?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Zamawiający dopuszcza.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w przypadku składania oferty na I i II część zamówienia Wykonaw</w:t>
      </w:r>
      <w:r>
        <w:rPr>
          <w:rFonts w:ascii="Calibri" w:hAnsi="Calibri"/>
          <w:sz w:val="21"/>
          <w:szCs w:val="21"/>
        </w:rPr>
        <w:t>ca może wykazać się tymi samymi referencjami (dla każdej z części)  na dostawę i montaż instalacji fotowoltaicznych na BUDYNKACH W ILOŚCI MINIMUM 270 INSTALACJI W RAMACH JEDNEGO ZAMÓWIENIA (ZSUMOWANE DOŚWIADCZENIE)?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 xml:space="preserve">Zamawiający informuje, że na 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>bieżącym etapie postępowania nie będzie potwierdzał spełniania warunków udziału w postępowaniu przez Wykonawców. Badanie i ocenę ofert w tym zakresie Zamawiający przeprowadzi po upływie terminu składania i otwarcia ofert na podstawie załączonych do ofert o</w:t>
      </w:r>
      <w:r>
        <w:rPr>
          <w:rStyle w:val="UMwyrniony"/>
          <w:rFonts w:ascii="Calibri" w:eastAsia="Times New Roman" w:hAnsi="Calibri" w:cs="Liberation Serif"/>
          <w:b w:val="0"/>
          <w:bCs/>
          <w:iCs w:val="0"/>
          <w:color w:val="auto"/>
          <w:spacing w:val="2"/>
          <w:sz w:val="21"/>
          <w:szCs w:val="21"/>
          <w:lang w:eastAsia="pl-PL"/>
        </w:rPr>
        <w:t>świadczeń i złożonych na wezwanie dokumentów.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TimesNewRoman" w:hAnsi="Calibri" w:cs="Calibri"/>
          <w:b w:val="0"/>
          <w:iCs w:val="0"/>
          <w:color w:val="auto"/>
          <w:spacing w:val="2"/>
          <w:sz w:val="21"/>
          <w:szCs w:val="21"/>
          <w:lang w:eastAsia="pl-PL"/>
        </w:rPr>
        <w:t xml:space="preserve">Jednocześnie, Zamawiający zmienia zapisy SIWZ przez dodanie po pkt 8.1.1. punktów 8.1.2. - 8.1.5 o treści: 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„8.1.2. </w:t>
      </w:r>
      <w:r>
        <w:rPr>
          <w:rStyle w:val="UMwyrniony"/>
          <w:rFonts w:ascii="Calibri" w:eastAsia="TimesNewRoman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 </w:t>
      </w:r>
      <w:r>
        <w:rPr>
          <w:rStyle w:val="UMwyrniony"/>
          <w:rFonts w:ascii="Calibri" w:eastAsia="ArialMT" w:hAnsi="Calibri" w:cs="Calibri"/>
          <w:bCs/>
          <w:color w:val="auto"/>
          <w:spacing w:val="2"/>
          <w:sz w:val="21"/>
          <w:szCs w:val="21"/>
          <w:lang w:eastAsia="ar-SA"/>
        </w:rPr>
        <w:t xml:space="preserve">W przypadku składania oferty na część I i II 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zamawiający dopuszcza -pod warunkiem spełniania 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>warunku udziału w postępowaniu, aby wykonawca posłużył się tymi samymi dokumentami (dowodami określającymi czy te dostawy zostały wykonane należycie) dla obu części. Nie ma wymogu składania „podwójnych” dokumentów.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8.1.3. </w:t>
      </w:r>
      <w:r>
        <w:rPr>
          <w:rStyle w:val="UMwyrniony"/>
          <w:rFonts w:ascii="Calibri" w:eastAsia="ArialMT" w:hAnsi="Calibri" w:cs="Calibri"/>
          <w:bCs/>
          <w:color w:val="auto"/>
          <w:spacing w:val="2"/>
          <w:sz w:val="21"/>
          <w:szCs w:val="21"/>
          <w:lang w:eastAsia="ar-SA"/>
        </w:rPr>
        <w:t>W przypadku składania oferty na cz</w:t>
      </w:r>
      <w:r>
        <w:rPr>
          <w:rStyle w:val="UMwyrniony"/>
          <w:rFonts w:ascii="Calibri" w:eastAsia="ArialMT" w:hAnsi="Calibri" w:cs="Calibri"/>
          <w:bCs/>
          <w:color w:val="auto"/>
          <w:spacing w:val="2"/>
          <w:sz w:val="21"/>
          <w:szCs w:val="21"/>
          <w:lang w:eastAsia="ar-SA"/>
        </w:rPr>
        <w:t xml:space="preserve">ęść III i IV 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>zamawiający dopuszcza -pod warunkiem spełniania warunku udziału w postępowaniu, aby wykonawca posłużył się tymi samymi dokumentami (dowodami określającymi czy te dostawy zostały wykonane należycie) dla obu części. Nie ma wymogu składania „podw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>ójnych” dokumentów.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8.1.4. </w:t>
      </w:r>
      <w:r>
        <w:rPr>
          <w:rStyle w:val="UMwyrniony"/>
          <w:rFonts w:ascii="Calibri" w:eastAsia="TimesNewRoman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 </w:t>
      </w:r>
      <w:r>
        <w:rPr>
          <w:rStyle w:val="UMwyrniony"/>
          <w:rFonts w:ascii="Calibri" w:eastAsia="ArialMT" w:hAnsi="Calibri" w:cs="Calibri"/>
          <w:bCs/>
          <w:color w:val="auto"/>
          <w:spacing w:val="2"/>
          <w:sz w:val="21"/>
          <w:szCs w:val="21"/>
          <w:lang w:eastAsia="ar-SA"/>
        </w:rPr>
        <w:t>W przypadku składania oferty na część V i VI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 xml:space="preserve"> zamawiający dopuszcza -pod warunkiem spełniania warunku udziału w postępowaniu, aby wykonawca posłużył się tymi samymi dokumentami 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lastRenderedPageBreak/>
        <w:t>(dowodami określającymi czy te dostawy zostały wykon</w:t>
      </w:r>
      <w:r>
        <w:rPr>
          <w:rStyle w:val="UMwyrniony"/>
          <w:rFonts w:ascii="Calibri" w:eastAsia="ArialMT" w:hAnsi="Calibri" w:cs="Calibri"/>
          <w:b w:val="0"/>
          <w:color w:val="auto"/>
          <w:spacing w:val="2"/>
          <w:sz w:val="21"/>
          <w:szCs w:val="21"/>
          <w:lang w:eastAsia="ar-SA"/>
        </w:rPr>
        <w:t>ane należycie) dla obu części. Nie ma wymogu składania „podwójnych” dokumentów.</w:t>
      </w:r>
    </w:p>
    <w:p w:rsidR="00AC1AA2" w:rsidRDefault="00EF0242">
      <w:pPr>
        <w:widowControl w:val="0"/>
        <w:spacing w:after="227" w:line="276" w:lineRule="auto"/>
        <w:ind w:left="777"/>
        <w:jc w:val="both"/>
        <w:rPr>
          <w:rFonts w:hint="eastAsia"/>
        </w:rPr>
      </w:pPr>
      <w:r>
        <w:rPr>
          <w:rStyle w:val="UMwyrniony"/>
          <w:rFonts w:ascii="Calibri" w:eastAsia="ArialMT" w:hAnsi="Calibri" w:cs="Calibri"/>
          <w:b w:val="0"/>
          <w:spacing w:val="2"/>
          <w:sz w:val="21"/>
          <w:szCs w:val="21"/>
          <w:lang w:eastAsia="ar-SA" w:bidi="ar-SA"/>
        </w:rPr>
        <w:t xml:space="preserve">8.1.5. </w:t>
      </w:r>
      <w:r>
        <w:rPr>
          <w:rStyle w:val="UMwyrniony"/>
          <w:rFonts w:ascii="Calibri" w:eastAsia="TimesNewRoman" w:hAnsi="Calibri" w:cs="Calibri"/>
          <w:b w:val="0"/>
          <w:spacing w:val="2"/>
          <w:sz w:val="21"/>
          <w:szCs w:val="21"/>
          <w:lang w:eastAsia="ar-SA" w:bidi="ar-SA"/>
        </w:rPr>
        <w:t xml:space="preserve"> </w:t>
      </w:r>
      <w:r>
        <w:rPr>
          <w:rStyle w:val="UMwyrniony"/>
          <w:rFonts w:ascii="Calibri" w:eastAsia="ArialMT" w:hAnsi="Calibri" w:cs="Calibri"/>
          <w:bCs/>
          <w:spacing w:val="2"/>
          <w:sz w:val="21"/>
          <w:szCs w:val="21"/>
          <w:lang w:eastAsia="ar-SA" w:bidi="ar-SA"/>
        </w:rPr>
        <w:t xml:space="preserve">W przypadku składania oferty na część VII i VIII </w:t>
      </w:r>
      <w:r>
        <w:rPr>
          <w:rStyle w:val="UMwyrniony"/>
          <w:rFonts w:ascii="Calibri" w:eastAsia="ArialMT" w:hAnsi="Calibri" w:cs="Calibri"/>
          <w:b w:val="0"/>
          <w:spacing w:val="2"/>
          <w:sz w:val="21"/>
          <w:szCs w:val="21"/>
          <w:lang w:eastAsia="ar-SA" w:bidi="ar-SA"/>
        </w:rPr>
        <w:t xml:space="preserve">zamawiający dopuszcza -pod warunkiem spełniania warunku udziału w postępowaniu, aby wykonawca posłużył się tymi samymi </w:t>
      </w:r>
      <w:r>
        <w:rPr>
          <w:rStyle w:val="UMwyrniony"/>
          <w:rFonts w:ascii="Calibri" w:eastAsia="ArialMT" w:hAnsi="Calibri" w:cs="Calibri"/>
          <w:b w:val="0"/>
          <w:spacing w:val="2"/>
          <w:sz w:val="21"/>
          <w:szCs w:val="21"/>
          <w:lang w:eastAsia="ar-SA" w:bidi="ar-SA"/>
        </w:rPr>
        <w:t>dokumentami (dowodami określającymi czy te dostawy zostały wykonane należycie) dla obu części. Nie ma wymogu składania „podwójnych” dokumentów.”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Zamawiający wymaga by Wykonawca wykazał się doświadczeniem polegającym na: - Prosimy O WYKREŚLENIE „LI</w:t>
      </w:r>
      <w:r>
        <w:rPr>
          <w:rFonts w:ascii="Calibri" w:hAnsi="Calibri"/>
          <w:sz w:val="21"/>
          <w:szCs w:val="21"/>
        </w:rPr>
        <w:t>CZNIKÓW ENERGII”, które nie są niezbędnym elementem do prawidłowego funkcjonowania instalacji PV.  Dlaczego Zamawiający wymaga doświadczenia z licznikami energii skoro nie są one w zakresie powyższego zamówienia?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 Z</w:t>
      </w:r>
      <w:r>
        <w:rPr>
          <w:rFonts w:ascii="Calibri" w:hAnsi="Calibri" w:cs="Liberation Serif"/>
          <w:color w:val="auto"/>
          <w:sz w:val="21"/>
          <w:szCs w:val="21"/>
        </w:rPr>
        <w:t xml:space="preserve">amawiający wykreśla zapisy dot </w:t>
      </w:r>
      <w:r>
        <w:rPr>
          <w:rFonts w:ascii="Calibri" w:hAnsi="Calibri" w:cs="Liberation Serif"/>
          <w:color w:val="auto"/>
          <w:sz w:val="21"/>
          <w:szCs w:val="21"/>
        </w:rPr>
        <w:t>„liczników energii”. Patrz odpowiedź na pytanie 6 oraz zapisy poniżej dotyczące zmian SIWZ w pkt 2).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 xml:space="preserve">Prosimy o potwierdzenie, że Zamawiający NIE WYMAGA złożenia dokumentu JEDZ </w:t>
      </w:r>
      <w:bookmarkStart w:id="5" w:name="__DdeLink__3590_2950772456"/>
      <w:r>
        <w:rPr>
          <w:rFonts w:ascii="Calibri" w:hAnsi="Calibri"/>
          <w:sz w:val="21"/>
          <w:szCs w:val="21"/>
        </w:rPr>
        <w:t>podwykonawcy (podwykonawca NIE JEST podmiotem na zasobach, których Wyko</w:t>
      </w:r>
      <w:r>
        <w:rPr>
          <w:rFonts w:ascii="Calibri" w:hAnsi="Calibri"/>
          <w:sz w:val="21"/>
          <w:szCs w:val="21"/>
        </w:rPr>
        <w:t>nawca polega).</w:t>
      </w:r>
      <w:bookmarkEnd w:id="5"/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Odpowiedź: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 w:cs="Liberation Serif"/>
          <w:color w:val="auto"/>
          <w:sz w:val="21"/>
          <w:szCs w:val="21"/>
        </w:rPr>
        <w:t xml:space="preserve">  Jakie podmioty zobowiązane są do złożenia JEDZ zostało szczegółowo opisane w pkt. 6 SIWZ. Podwykonawca, który nie jest podmiotem na zasobach, których Wykonawca polega nie składa JEDZ.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potwierdzenie, że Zamawi</w:t>
      </w:r>
      <w:r>
        <w:rPr>
          <w:rFonts w:ascii="Calibri" w:hAnsi="Calibri"/>
          <w:sz w:val="21"/>
          <w:szCs w:val="21"/>
        </w:rPr>
        <w:t>ający dopuszcza udział podwykonawców (NIE BĘDĄCYCH PODMIOTEM NA ZASOBACH, KTÓRYCH WYKONAWCA POLEGA).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 Zamawiający dopuszcza udział podwykonawców, czego daje wyraz postanowieniami SIWZ oraz zapisami formularza ofertowego.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Czy Zamawiający</w:t>
      </w:r>
      <w:r>
        <w:rPr>
          <w:rFonts w:ascii="Calibri" w:hAnsi="Calibri"/>
          <w:sz w:val="21"/>
          <w:szCs w:val="21"/>
        </w:rPr>
        <w:t xml:space="preserve"> posiada audyty lub projekty poszczególnych domów objętych zamówieniem które udostępni na etapie realizacji wykonawcy?</w:t>
      </w:r>
    </w:p>
    <w:p w:rsidR="00AC1AA2" w:rsidRDefault="00EF0242">
      <w:pPr>
        <w:pStyle w:val="Normalny1"/>
        <w:spacing w:after="227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>O</w:t>
      </w: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>dpowiedź:</w:t>
      </w:r>
      <w:r>
        <w:rPr>
          <w:rFonts w:ascii="Calibri" w:hAnsi="Calibri" w:cs="Liberation Serif"/>
          <w:b/>
          <w:bCs/>
          <w:color w:val="auto"/>
          <w:sz w:val="21"/>
          <w:szCs w:val="21"/>
        </w:rPr>
        <w:t xml:space="preserve"> </w:t>
      </w:r>
      <w:r>
        <w:rPr>
          <w:rFonts w:ascii="Calibri" w:hAnsi="Calibri"/>
          <w:color w:val="auto"/>
          <w:sz w:val="21"/>
        </w:rPr>
        <w:t xml:space="preserve">Zamawiający nie posiada </w:t>
      </w:r>
      <w:r>
        <w:rPr>
          <w:rFonts w:ascii="Calibri" w:hAnsi="Calibri"/>
          <w:color w:val="auto"/>
          <w:sz w:val="21"/>
        </w:rPr>
        <w:t>audytów poszczególnych domów objętych zamówieniem.  Zamawiający posiada projekty instalacji dla każdej</w:t>
      </w:r>
      <w:r>
        <w:rPr>
          <w:rFonts w:ascii="Calibri" w:hAnsi="Calibri"/>
          <w:color w:val="auto"/>
          <w:sz w:val="21"/>
        </w:rPr>
        <w:t xml:space="preserve"> lokalizacji (domu), które będą udostępnione Wykonawcy na etapie realizacji zamówienia.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Z uwagi na rozbieżności w podanych sprawnościach europejskich dla falowników zawartych w dokumentacji projektowej (wykonawczej) oraz kryterium oceny ofert pkt.</w:t>
      </w:r>
      <w:r>
        <w:rPr>
          <w:rFonts w:ascii="Calibri" w:hAnsi="Calibri"/>
          <w:sz w:val="21"/>
          <w:szCs w:val="21"/>
        </w:rPr>
        <w:t xml:space="preserve"> 17.1.5. SIWZ prosimy o skorygowanie podanych wartości sprawności europejskiej w dokumentacji projektowej (wykonawczej). Sprawności europejskie wskazane w/w dokumentacji projektowej na poziomie 97,4% dla falownika jednofazowego o mocy 2 kW i 97,5% dla falo</w:t>
      </w:r>
      <w:r>
        <w:rPr>
          <w:rFonts w:ascii="Calibri" w:hAnsi="Calibri"/>
          <w:sz w:val="21"/>
          <w:szCs w:val="21"/>
        </w:rPr>
        <w:t>wnika jednofazowego o mocy 2,5 kW naszym zdaniem są nieosiągalne przez dostępne na naszym rynku falowniki. Sprawność europejska z kolei dla falowników trójfazowych o mocy 3 kW została określona na takim poziomie (96,4%), że spełnia je większość falowników.</w:t>
      </w:r>
      <w:r>
        <w:rPr>
          <w:rFonts w:ascii="Calibri" w:hAnsi="Calibri"/>
          <w:sz w:val="21"/>
          <w:szCs w:val="21"/>
        </w:rPr>
        <w:t xml:space="preserve"> Sytuacja jest sprzeczna z ogólna zasadą, ponieważ falowniki 3 fazowe maja z reguły lepsze sprawności (maksymalne i europejskie) niż falowniki jednofazowe.</w:t>
      </w:r>
    </w:p>
    <w:p w:rsidR="00AC1AA2" w:rsidRDefault="00EF0242">
      <w:pPr>
        <w:pStyle w:val="Normalny1"/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>Patrz odpowiedzi na pytania 123 i 124.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Pytanie: </w:t>
      </w:r>
      <w:r>
        <w:rPr>
          <w:rFonts w:ascii="Calibri" w:hAnsi="Calibri"/>
          <w:sz w:val="21"/>
          <w:szCs w:val="21"/>
        </w:rPr>
        <w:t>Prosimy o dokonanie zmiany (korekty) w kr</w:t>
      </w:r>
      <w:r>
        <w:rPr>
          <w:rFonts w:ascii="Calibri" w:hAnsi="Calibri"/>
          <w:sz w:val="21"/>
          <w:szCs w:val="21"/>
        </w:rPr>
        <w:t>yterium oceny ofert dla sprawności europejskiej falowników w pkt. 17.1.5. SIWZ. Określone kryterium oceny ofert jak w tabeli poniżej (zgodnie z SIWZ):</w:t>
      </w:r>
    </w:p>
    <w:p w:rsidR="00AC1AA2" w:rsidRDefault="00AC1AA2">
      <w:pPr>
        <w:widowControl w:val="0"/>
        <w:spacing w:after="60" w:line="276" w:lineRule="auto"/>
        <w:ind w:left="737" w:hanging="680"/>
        <w:jc w:val="both"/>
        <w:rPr>
          <w:rFonts w:ascii="Calibri" w:hAnsi="Calibri" w:cs="Calibri"/>
          <w:sz w:val="20"/>
          <w:szCs w:val="20"/>
        </w:rPr>
      </w:pPr>
    </w:p>
    <w:tbl>
      <w:tblPr>
        <w:tblW w:w="5140" w:type="dxa"/>
        <w:tblInd w:w="167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11"/>
        <w:gridCol w:w="1273"/>
        <w:gridCol w:w="1956"/>
      </w:tblGrid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Wartość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jednostka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punkty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 95,9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96,0– 96,8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96,9 i więcej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</w:tbl>
    <w:p w:rsidR="00AC1AA2" w:rsidRDefault="00AC1AA2">
      <w:pPr>
        <w:pStyle w:val="DomylneA"/>
        <w:widowControl w:val="0"/>
        <w:tabs>
          <w:tab w:val="clear" w:pos="220"/>
          <w:tab w:val="clear" w:pos="720"/>
          <w:tab w:val="left" w:pos="1025"/>
        </w:tabs>
        <w:spacing w:after="120" w:line="276" w:lineRule="auto"/>
        <w:ind w:firstLine="0"/>
        <w:rPr>
          <w:rFonts w:ascii="Calibri" w:hAnsi="Calibri" w:cs="Calibri"/>
          <w:color w:val="auto"/>
          <w:sz w:val="20"/>
          <w:szCs w:val="20"/>
        </w:rPr>
      </w:pPr>
    </w:p>
    <w:p w:rsidR="00AC1AA2" w:rsidRDefault="00EF0242">
      <w:pPr>
        <w:pStyle w:val="DomylneA"/>
        <w:widowControl w:val="0"/>
        <w:tabs>
          <w:tab w:val="clear" w:pos="220"/>
          <w:tab w:val="clear" w:pos="720"/>
          <w:tab w:val="left" w:pos="1025"/>
        </w:tabs>
        <w:spacing w:after="120" w:line="276" w:lineRule="auto"/>
        <w:ind w:firstLine="0"/>
        <w:rPr>
          <w:color w:val="auto"/>
        </w:rPr>
      </w:pPr>
      <w:r>
        <w:rPr>
          <w:rFonts w:ascii="Calibri" w:hAnsi="Calibri" w:cs="Calibri"/>
          <w:color w:val="auto"/>
          <w:sz w:val="21"/>
          <w:szCs w:val="21"/>
        </w:rPr>
        <w:t xml:space="preserve">Może spowodować, że </w:t>
      </w:r>
      <w:r>
        <w:rPr>
          <w:rFonts w:ascii="Calibri" w:hAnsi="Calibri" w:cs="Calibri"/>
          <w:color w:val="auto"/>
          <w:sz w:val="21"/>
          <w:szCs w:val="21"/>
        </w:rPr>
        <w:t>Zamawiający będzie miał problem z oceną ofert pod względem sprawności europejskich falowników, ponieważ rożne moce falowników mają różne sprawności. Dla zobrazowania przykład: Falownik o mocy 2 kW osiągnie sprawność europejską na poziomie 95,9% - gdzie w k</w:t>
      </w:r>
      <w:r>
        <w:rPr>
          <w:rFonts w:ascii="Calibri" w:hAnsi="Calibri" w:cs="Calibri"/>
          <w:color w:val="auto"/>
          <w:sz w:val="21"/>
          <w:szCs w:val="21"/>
        </w:rPr>
        <w:t>ryterium oceny zostanie przyznane 0 pkt., a falownik o mocy 3 kW osiągnie sprawność 96,9 % lub więcej więc Zamawiający powinien przyznać 10 pkt. wg kryterium wskazanego w SIWZ. W związku z powyższym dokonanie oceny, ile punktów za sprawność falownika Zamaw</w:t>
      </w:r>
      <w:r>
        <w:rPr>
          <w:rFonts w:ascii="Calibri" w:hAnsi="Calibri" w:cs="Calibri"/>
          <w:color w:val="auto"/>
          <w:sz w:val="21"/>
          <w:szCs w:val="21"/>
        </w:rPr>
        <w:t>iający powinien przyznać oferentowi naszym zdaniem jest niemożliwa do rozstrzygnięcia. Sugerujemy Zamawiającemu, aby do kryterium oceny ofert brane były pod uwagę sprawności europejskie falowników dla instalacji fotowoltaicznych o mocy 3,24 kW, których jes</w:t>
      </w:r>
      <w:r>
        <w:rPr>
          <w:rFonts w:ascii="Calibri" w:hAnsi="Calibri" w:cs="Calibri"/>
          <w:color w:val="auto"/>
          <w:sz w:val="21"/>
          <w:szCs w:val="21"/>
        </w:rPr>
        <w:t>t najwięcej w projekcie. Jeśli Zamawiający uzna, że w kryterium oceny ofert będzie brał pod uwagę sprawność europejską falowników dla instalacji o mocy 3,24 kW prosimy o doprecyzowanie tej informacji w formularzu oferty.</w:t>
      </w:r>
    </w:p>
    <w:p w:rsidR="00AC1AA2" w:rsidRDefault="00EF0242">
      <w:pPr>
        <w:pStyle w:val="Normalny1"/>
        <w:tabs>
          <w:tab w:val="left" w:pos="1025"/>
        </w:tabs>
        <w:spacing w:after="60" w:line="276" w:lineRule="auto"/>
        <w:ind w:left="777"/>
        <w:jc w:val="both"/>
        <w:rPr>
          <w:color w:val="auto"/>
        </w:rPr>
      </w:pPr>
      <w:r>
        <w:rPr>
          <w:rFonts w:ascii="Calibri" w:hAnsi="Calibri" w:cs="Liberation Serif"/>
          <w:b/>
          <w:bCs/>
          <w:color w:val="auto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auto"/>
          <w:sz w:val="21"/>
          <w:szCs w:val="21"/>
        </w:rPr>
        <w:t xml:space="preserve">Patrz odpowiedź pytanie </w:t>
      </w:r>
      <w:r>
        <w:rPr>
          <w:rFonts w:ascii="Calibri" w:hAnsi="Calibri" w:cs="Liberation Serif"/>
          <w:color w:val="auto"/>
          <w:sz w:val="21"/>
          <w:szCs w:val="21"/>
        </w:rPr>
        <w:t>nr 5.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Pytanie:</w:t>
      </w:r>
      <w:r>
        <w:rPr>
          <w:rFonts w:ascii="Calibri" w:hAnsi="Calibri"/>
          <w:color w:val="000000"/>
          <w:sz w:val="21"/>
          <w:szCs w:val="21"/>
        </w:rPr>
        <w:t xml:space="preserve"> W zakresie wyposażenia skrzynek zabezpieczających Dci AC dla instalacji fotowoltaicznych prosimy o podanie parametrów elektrycznych dla zaprojektowanych aparatów (brak informacji w opisie a schematy są nieczytelne).</w:t>
      </w:r>
    </w:p>
    <w:p w:rsidR="00AC1AA2" w:rsidRDefault="00EF0242">
      <w:pPr>
        <w:widowControl w:val="0"/>
        <w:spacing w:after="60" w:line="276" w:lineRule="auto"/>
        <w:ind w:left="777"/>
        <w:jc w:val="both"/>
        <w:rPr>
          <w:rFonts w:hint="eastAsia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Odpowiedź:</w:t>
      </w:r>
      <w:r>
        <w:rPr>
          <w:rFonts w:ascii="Calibri" w:hAnsi="Calibri"/>
          <w:color w:val="000000"/>
          <w:sz w:val="21"/>
          <w:szCs w:val="21"/>
        </w:rPr>
        <w:t xml:space="preserve"> </w:t>
      </w:r>
      <w:r>
        <w:rPr>
          <w:rFonts w:ascii="Calibri" w:hAnsi="Calibri" w:cs="Liberation Serif"/>
          <w:color w:val="000000"/>
          <w:sz w:val="21"/>
          <w:szCs w:val="21"/>
        </w:rPr>
        <w:t>Parametry ogra</w:t>
      </w:r>
      <w:r>
        <w:rPr>
          <w:rFonts w:ascii="Calibri" w:hAnsi="Calibri" w:cs="Liberation Serif"/>
          <w:color w:val="000000"/>
          <w:sz w:val="21"/>
          <w:szCs w:val="21"/>
        </w:rPr>
        <w:t>niczników przepięć i bezpiecznika RCD zostały określone w pyt. 11, 16, 17. Po stronie DC należy przewidzieć rozdzielnicę Elektryczną IP65 wraz z rozłącznikami izolacyjnym i bezpiecznikami topikowymi o charakterystyce gPV oraz ogranicznik przepięć DC zgodni</w:t>
      </w:r>
      <w:r>
        <w:rPr>
          <w:rFonts w:ascii="Calibri" w:hAnsi="Calibri" w:cs="Liberation Serif"/>
          <w:color w:val="000000"/>
          <w:sz w:val="21"/>
          <w:szCs w:val="21"/>
        </w:rPr>
        <w:t>e z pyt. 17. Po stronie AC należy przewidzieć oddzielną skrzynkę elektryczną IP65, ogranicznik przepięć AC, bezpiecznik RCD zgodnie z pytaniami 11 oraz 16 oraz ponadto dobrany bezpiecznik nadmiarowy zgodnie z wymaganiami inwertera oraz przewodów elektryczn</w:t>
      </w:r>
      <w:r>
        <w:rPr>
          <w:rFonts w:ascii="Calibri" w:hAnsi="Calibri" w:cs="Liberation Serif"/>
          <w:color w:val="000000"/>
          <w:sz w:val="21"/>
          <w:szCs w:val="21"/>
        </w:rPr>
        <w:t xml:space="preserve">ych. Całość powinna być uzgodniona z Inspektorem Nadzoru. Na każdej instalacji wymaga się wykonania uziemienia instalacji PV zgodnie z obowiązującymi przepisami.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 xml:space="preserve">Pytanie: </w:t>
      </w:r>
      <w:r>
        <w:rPr>
          <w:rFonts w:ascii="Calibri" w:hAnsi="Calibri"/>
          <w:color w:val="000000"/>
          <w:sz w:val="21"/>
          <w:szCs w:val="21"/>
        </w:rPr>
        <w:t>Prosimy</w:t>
      </w:r>
      <w:r>
        <w:rPr>
          <w:rFonts w:ascii="Calibri" w:hAnsi="Calibri"/>
          <w:color w:val="000000"/>
          <w:sz w:val="21"/>
          <w:szCs w:val="21"/>
        </w:rPr>
        <w:t xml:space="preserve"> o wyjaśnienie rozbieżności pomiędzy opisem a schematem R-AC (schematy dla in</w:t>
      </w:r>
      <w:r>
        <w:rPr>
          <w:rFonts w:ascii="Calibri" w:hAnsi="Calibri"/>
          <w:color w:val="000000"/>
          <w:sz w:val="21"/>
          <w:szCs w:val="21"/>
        </w:rPr>
        <w:t>stalacji jednofazowych o mocy 2,16 i 2,7 kW). Do czego mają służyć wrysowane styczniki po stronie skrzynki AC?</w:t>
      </w:r>
    </w:p>
    <w:p w:rsidR="00AC1AA2" w:rsidRDefault="00EF0242">
      <w:pPr>
        <w:widowControl w:val="0"/>
        <w:spacing w:after="227" w:line="276" w:lineRule="auto"/>
        <w:ind w:left="777"/>
        <w:jc w:val="both"/>
        <w:rPr>
          <w:rFonts w:hint="eastAsia"/>
        </w:rPr>
      </w:pPr>
      <w:r>
        <w:rPr>
          <w:rFonts w:ascii="Calibri" w:hAnsi="Calibri" w:cs="Liberation Serif"/>
          <w:b/>
          <w:bCs/>
          <w:color w:val="000000"/>
          <w:sz w:val="21"/>
          <w:szCs w:val="21"/>
          <w:u w:val="single"/>
        </w:rPr>
        <w:t xml:space="preserve">Odpowiedź: </w:t>
      </w:r>
      <w:r>
        <w:rPr>
          <w:rFonts w:ascii="Calibri" w:hAnsi="Calibri" w:cs="Liberation Serif"/>
          <w:color w:val="000000"/>
          <w:sz w:val="21"/>
          <w:szCs w:val="21"/>
        </w:rPr>
        <w:t>Parametry ograniczników przepięć i bezpiecznika RCD zostały określone w pyt. 11, 16, 17. Po stronie DC należy przewidzieć rozdzielnicę Elektryczną IP65 wraz z rozłącznikami izolacyjnym i bezpiecznikami topikowymi o charakterystyce gPV oraz ogranicznik prze</w:t>
      </w:r>
      <w:r>
        <w:rPr>
          <w:rFonts w:ascii="Calibri" w:hAnsi="Calibri" w:cs="Liberation Serif"/>
          <w:color w:val="000000"/>
          <w:sz w:val="21"/>
          <w:szCs w:val="21"/>
        </w:rPr>
        <w:t>pięć DC zgodnie z pyt. 17. Po stronie AC należy przewidzieć oddzielną skrzynkę elektryczną IP65, ogranicznik przepięć AC, bezpiecznik RCD zgodnie z pytaniami 11 oraz 16 oraz ponadto dobrany bezpiecznik nadmiarowy zgodnie z wymaganiami inwertera oraz przewo</w:t>
      </w:r>
      <w:r>
        <w:rPr>
          <w:rFonts w:ascii="Calibri" w:hAnsi="Calibri" w:cs="Liberation Serif"/>
          <w:color w:val="000000"/>
          <w:sz w:val="21"/>
          <w:szCs w:val="21"/>
        </w:rPr>
        <w:t xml:space="preserve">dów elektrycznych. Całość powinna być uzgodniona z Inspektorem Nadzoru. Na każdej instalacji wymaga się wykonania uziemienia instalacji PV zgodnie z obowiązującymi przepisami. </w:t>
      </w:r>
    </w:p>
    <w:p w:rsidR="00AC1AA2" w:rsidRDefault="00EF0242">
      <w:pPr>
        <w:widowControl w:val="0"/>
        <w:numPr>
          <w:ilvl w:val="0"/>
          <w:numId w:val="1"/>
        </w:numPr>
        <w:spacing w:after="60" w:line="276" w:lineRule="auto"/>
        <w:ind w:left="737" w:hanging="680"/>
        <w:jc w:val="both"/>
        <w:rPr>
          <w:rFonts w:hint="eastAsia"/>
        </w:rPr>
      </w:pPr>
      <w:r>
        <w:rPr>
          <w:rFonts w:ascii="Calibri" w:hAnsi="Calibri"/>
          <w:sz w:val="21"/>
          <w:szCs w:val="21"/>
        </w:rPr>
        <w:t>Prosimy o usunięcie wymogu zgodności modułów PV z normą UL1703. Norma ta obowią</w:t>
      </w:r>
      <w:r>
        <w:rPr>
          <w:rFonts w:ascii="Calibri" w:hAnsi="Calibri"/>
          <w:sz w:val="21"/>
          <w:szCs w:val="21"/>
        </w:rPr>
        <w:t>zuje wyłącznie na rynek USA.</w:t>
      </w:r>
    </w:p>
    <w:p w:rsidR="00AC1AA2" w:rsidRDefault="00EF0242">
      <w:pPr>
        <w:widowControl w:val="0"/>
        <w:spacing w:after="60" w:line="276" w:lineRule="auto"/>
        <w:ind w:left="777"/>
        <w:jc w:val="both"/>
        <w:rPr>
          <w:rFonts w:hint="eastAsia"/>
        </w:rPr>
      </w:pPr>
      <w:r>
        <w:rPr>
          <w:rFonts w:ascii="Calibri" w:hAnsi="Calibri"/>
          <w:sz w:val="21"/>
          <w:szCs w:val="21"/>
        </w:rPr>
        <w:t>Odpowiedź: Patrz odpowiedź na pytanie 67.</w:t>
      </w:r>
    </w:p>
    <w:p w:rsidR="00AC1AA2" w:rsidRDefault="00AC1AA2">
      <w:pPr>
        <w:widowControl w:val="0"/>
        <w:spacing w:after="62" w:line="276" w:lineRule="auto"/>
        <w:jc w:val="both"/>
        <w:rPr>
          <w:rFonts w:hint="eastAsia"/>
        </w:rPr>
      </w:pPr>
    </w:p>
    <w:p w:rsidR="00AC1AA2" w:rsidRDefault="00AC1AA2">
      <w:pPr>
        <w:pStyle w:val="DomylneA"/>
        <w:tabs>
          <w:tab w:val="left" w:pos="373"/>
          <w:tab w:val="left" w:pos="873"/>
        </w:tabs>
        <w:spacing w:after="120" w:line="276" w:lineRule="auto"/>
        <w:ind w:left="567" w:firstLine="0"/>
        <w:jc w:val="left"/>
        <w:rPr>
          <w:rFonts w:ascii="Calibri" w:hAnsi="Calibri" w:cs="Calibri"/>
          <w:color w:val="auto"/>
          <w:sz w:val="21"/>
          <w:szCs w:val="21"/>
        </w:rPr>
      </w:pPr>
    </w:p>
    <w:p w:rsidR="00AC1AA2" w:rsidRDefault="00EF0242">
      <w:pPr>
        <w:pStyle w:val="Tekstpodstawowy"/>
        <w:spacing w:after="60"/>
        <w:jc w:val="both"/>
        <w:rPr>
          <w:rFonts w:hint="eastAsia"/>
        </w:rPr>
      </w:pPr>
      <w:r>
        <w:rPr>
          <w:rFonts w:ascii="Calibri" w:eastAsia="ArialMT" w:hAnsi="Calibri"/>
          <w:b/>
          <w:color w:val="000000"/>
          <w:sz w:val="21"/>
          <w:szCs w:val="21"/>
          <w:lang w:eastAsia="ar-SA"/>
        </w:rPr>
        <w:t>Działając na podstawie art. 12a ust. 2 pkt ustawy Prawo zamówień publicznych, Zamawiający przedłuża termin składania ofert o czas niezbędny na wprowadzenie zmian w ofertach. Termin sk</w:t>
      </w:r>
      <w:r>
        <w:rPr>
          <w:rFonts w:ascii="Calibri" w:eastAsia="ArialMT" w:hAnsi="Calibri"/>
          <w:b/>
          <w:color w:val="000000"/>
          <w:sz w:val="21"/>
          <w:szCs w:val="21"/>
          <w:lang w:eastAsia="ar-SA"/>
        </w:rPr>
        <w:t xml:space="preserve">ładania ofert upływa dnia 14.07.2020 r. o godzinie 12.00. </w:t>
      </w:r>
    </w:p>
    <w:p w:rsidR="00AC1AA2" w:rsidRDefault="00EF0242">
      <w:pPr>
        <w:pStyle w:val="Tekstpodstawowy"/>
        <w:spacing w:after="60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  <w:u w:val="single"/>
        </w:rPr>
        <w:lastRenderedPageBreak/>
        <w:t>Modyfikacji ulegają zapisy Specyfikacji Istotnych Warunków Zamówienia</w:t>
      </w:r>
      <w:r>
        <w:rPr>
          <w:rFonts w:ascii="Calibri" w:hAnsi="Calibri"/>
          <w:color w:val="000000"/>
          <w:sz w:val="21"/>
          <w:szCs w:val="21"/>
        </w:rPr>
        <w:t xml:space="preserve"> w pkt. 15.2. oraz pkt 15.4, które otrzymują brzmienie:</w:t>
      </w:r>
    </w:p>
    <w:p w:rsidR="00AC1AA2" w:rsidRDefault="00EF0242">
      <w:pPr>
        <w:pStyle w:val="Tekstpodstawowy"/>
        <w:spacing w:after="60"/>
        <w:ind w:left="567" w:hanging="567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</w:rPr>
        <w:t xml:space="preserve">„15.2. Za ofertę złożoną w terminie Zamawiający uzna ofertę przekazaną </w:t>
      </w:r>
      <w:r>
        <w:rPr>
          <w:rFonts w:ascii="Calibri" w:hAnsi="Calibri"/>
          <w:b/>
          <w:color w:val="000000"/>
          <w:sz w:val="21"/>
          <w:szCs w:val="21"/>
        </w:rPr>
        <w:t>d</w:t>
      </w:r>
      <w:r>
        <w:rPr>
          <w:rFonts w:ascii="Calibri" w:hAnsi="Calibri"/>
          <w:b/>
          <w:bCs/>
          <w:color w:val="000000"/>
          <w:sz w:val="21"/>
          <w:szCs w:val="21"/>
        </w:rPr>
        <w:t>o dnia 14.07.2020 r</w:t>
      </w:r>
      <w:r>
        <w:rPr>
          <w:rFonts w:ascii="Calibri" w:hAnsi="Calibri"/>
          <w:b/>
          <w:color w:val="000000"/>
          <w:sz w:val="21"/>
          <w:szCs w:val="21"/>
        </w:rPr>
        <w:t>. do godziny 12:00.</w:t>
      </w:r>
      <w:r>
        <w:rPr>
          <w:rFonts w:ascii="Calibri" w:hAnsi="Calibri"/>
          <w:color w:val="000000"/>
          <w:sz w:val="21"/>
          <w:szCs w:val="21"/>
        </w:rPr>
        <w:t xml:space="preserve"> Za datę przekazania oferty przyjmuje się datę jej przekazania na ePUAP.</w:t>
      </w:r>
    </w:p>
    <w:p w:rsidR="00AC1AA2" w:rsidRDefault="00EF0242">
      <w:pPr>
        <w:pStyle w:val="Tekstpodstawowy"/>
        <w:spacing w:after="113"/>
        <w:ind w:left="567" w:hanging="567"/>
        <w:jc w:val="both"/>
        <w:rPr>
          <w:rFonts w:hint="eastAsia"/>
        </w:rPr>
      </w:pPr>
      <w:r>
        <w:rPr>
          <w:rFonts w:ascii="Calibri" w:hAnsi="Calibri"/>
          <w:color w:val="000000"/>
          <w:sz w:val="21"/>
          <w:szCs w:val="21"/>
        </w:rPr>
        <w:t xml:space="preserve">15.4. Otwarcie ofert nastąpi w dniu </w:t>
      </w:r>
      <w:r>
        <w:rPr>
          <w:rFonts w:ascii="Calibri" w:hAnsi="Calibri"/>
          <w:b/>
          <w:bCs/>
          <w:color w:val="000000"/>
          <w:sz w:val="21"/>
          <w:szCs w:val="21"/>
        </w:rPr>
        <w:t xml:space="preserve">14.07.2020 </w:t>
      </w:r>
      <w:r>
        <w:rPr>
          <w:rFonts w:ascii="Calibri" w:hAnsi="Calibri"/>
          <w:b/>
          <w:color w:val="000000"/>
          <w:sz w:val="21"/>
          <w:szCs w:val="21"/>
        </w:rPr>
        <w:t xml:space="preserve">r. o godzinie 12.15 </w:t>
      </w:r>
      <w:r>
        <w:rPr>
          <w:rFonts w:ascii="Calibri" w:hAnsi="Calibri"/>
          <w:color w:val="000000"/>
          <w:sz w:val="21"/>
          <w:szCs w:val="21"/>
        </w:rPr>
        <w:t>w siedzibie Zamawiającego: Urząd Gminy Tryńcza, 37-204 Tryńcza 127.”</w:t>
      </w:r>
    </w:p>
    <w:p w:rsidR="00AC1AA2" w:rsidRDefault="00AC1AA2">
      <w:pPr>
        <w:pStyle w:val="Tekstpodstawowy"/>
        <w:spacing w:after="113"/>
        <w:jc w:val="both"/>
        <w:rPr>
          <w:rFonts w:ascii="Calibri" w:hAnsi="Calibri"/>
          <w:sz w:val="21"/>
          <w:szCs w:val="21"/>
        </w:rPr>
      </w:pPr>
    </w:p>
    <w:p w:rsidR="00AC1AA2" w:rsidRDefault="00EF0242">
      <w:pPr>
        <w:pStyle w:val="Tekstpodstawowy"/>
        <w:spacing w:after="11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Zamawiaj</w:t>
      </w:r>
      <w:r>
        <w:rPr>
          <w:rFonts w:ascii="Calibri" w:hAnsi="Calibri"/>
          <w:b/>
          <w:bCs/>
          <w:sz w:val="21"/>
          <w:szCs w:val="21"/>
        </w:rPr>
        <w:t xml:space="preserve">ący działając zgodnie z art. 38 ust. 4 ustawy z dnia 29.01.2004 r. Prawo zamówień publicznych </w:t>
      </w:r>
      <w:r>
        <w:rPr>
          <w:rFonts w:ascii="Calibri" w:hAnsi="Calibri"/>
          <w:sz w:val="21"/>
          <w:szCs w:val="21"/>
        </w:rPr>
        <w:t xml:space="preserve">(j.t. Dz. U. z 2019 r. poz. 1843 z późn. zm.) </w:t>
      </w:r>
      <w:r>
        <w:rPr>
          <w:rFonts w:ascii="Calibri" w:hAnsi="Calibri"/>
          <w:b/>
          <w:bCs/>
          <w:sz w:val="21"/>
          <w:szCs w:val="21"/>
        </w:rPr>
        <w:t xml:space="preserve">dokonuje </w:t>
      </w:r>
      <w:r>
        <w:rPr>
          <w:rFonts w:ascii="Calibri" w:hAnsi="Calibri"/>
          <w:b/>
          <w:bCs/>
          <w:sz w:val="21"/>
          <w:szCs w:val="21"/>
          <w:u w:val="single"/>
        </w:rPr>
        <w:t>zmiany SIWZ poprzez:</w:t>
      </w:r>
    </w:p>
    <w:p w:rsidR="00AC1AA2" w:rsidRDefault="00EF0242">
      <w:pPr>
        <w:pStyle w:val="Tekstpodstawowy"/>
        <w:numPr>
          <w:ilvl w:val="0"/>
          <w:numId w:val="2"/>
        </w:numPr>
        <w:spacing w:after="113"/>
        <w:jc w:val="both"/>
        <w:rPr>
          <w:rFonts w:hint="eastAsia"/>
        </w:rPr>
      </w:pPr>
      <w:r>
        <w:rPr>
          <w:rFonts w:ascii="Calibri" w:hAnsi="Calibri"/>
          <w:b/>
          <w:bCs/>
          <w:sz w:val="21"/>
          <w:szCs w:val="21"/>
        </w:rPr>
        <w:t xml:space="preserve">zmianę zapisów w pkt. 17.1.5. SIWZ tj. kryteriów oceny ofert dla części I i II w kryterium: </w:t>
      </w:r>
      <w:r>
        <w:rPr>
          <w:rFonts w:ascii="Calibri" w:eastAsia="Times New Roman" w:hAnsi="Calibri" w:cs="Calibri"/>
          <w:b/>
          <w:bCs/>
          <w:sz w:val="21"/>
          <w:szCs w:val="21"/>
          <w:lang w:eastAsia="pl-PL" w:bidi="ar-SA"/>
        </w:rPr>
        <w:t xml:space="preserve">sprawność inwertera – Europejska sprawność ważona (nEU) (SI) – 10%=10 pkt. </w:t>
      </w:r>
    </w:p>
    <w:p w:rsidR="00AC1AA2" w:rsidRDefault="00EF0242">
      <w:pPr>
        <w:pStyle w:val="Tekstpodstawowy"/>
        <w:spacing w:after="113"/>
        <w:ind w:left="720"/>
        <w:jc w:val="both"/>
        <w:rPr>
          <w:rFonts w:hint="eastAsia"/>
        </w:rPr>
      </w:pPr>
      <w:r>
        <w:rPr>
          <w:rFonts w:ascii="Calibri" w:eastAsia="Times New Roman" w:hAnsi="Calibri" w:cs="Calibri"/>
          <w:sz w:val="21"/>
          <w:szCs w:val="21"/>
          <w:lang w:eastAsia="pl-PL" w:bidi="ar-SA"/>
        </w:rPr>
        <w:t>Pkt 17.1.5. SIWZ otrzymuje brzmienie:</w:t>
      </w:r>
    </w:p>
    <w:p w:rsidR="00AC1AA2" w:rsidRDefault="00EF0242">
      <w:pPr>
        <w:pStyle w:val="Tekstpodstawowy"/>
        <w:spacing w:after="113"/>
        <w:ind w:left="720"/>
        <w:jc w:val="both"/>
        <w:rPr>
          <w:rFonts w:hint="eastAsia"/>
        </w:rPr>
      </w:pPr>
      <w:r>
        <w:rPr>
          <w:rFonts w:ascii="Calibri" w:eastAsia="Times New Roman" w:hAnsi="Calibri" w:cs="Calibri"/>
          <w:sz w:val="21"/>
          <w:szCs w:val="21"/>
          <w:lang w:eastAsia="pl-PL" w:bidi="ar-SA"/>
        </w:rPr>
        <w:t xml:space="preserve">17.1.5. </w:t>
      </w:r>
      <w:bookmarkStart w:id="6" w:name="__DdeLink__5648_154229591911"/>
      <w:r>
        <w:rPr>
          <w:rFonts w:ascii="Calibri" w:hAnsi="Calibri" w:cs="Calibri"/>
          <w:sz w:val="21"/>
          <w:szCs w:val="21"/>
        </w:rPr>
        <w:t>Sprawność inwertera – Europejska sprawność</w:t>
      </w:r>
      <w:r>
        <w:rPr>
          <w:rFonts w:ascii="Calibri" w:hAnsi="Calibri" w:cs="Calibri"/>
          <w:sz w:val="21"/>
          <w:szCs w:val="21"/>
        </w:rPr>
        <w:t xml:space="preserve"> ważona (nEU)  (SI) - 10%=10 pkt</w:t>
      </w:r>
      <w:bookmarkEnd w:id="6"/>
    </w:p>
    <w:p w:rsidR="00AC1AA2" w:rsidRDefault="00EF0242">
      <w:pPr>
        <w:pStyle w:val="Tekstpodstawowy"/>
        <w:spacing w:after="113"/>
        <w:ind w:left="720"/>
        <w:jc w:val="both"/>
        <w:rPr>
          <w:rFonts w:hint="eastAsia"/>
        </w:rPr>
      </w:pPr>
      <w:r>
        <w:rPr>
          <w:rFonts w:ascii="Calibri" w:hAnsi="Calibri" w:cs="Calibri"/>
          <w:sz w:val="21"/>
          <w:szCs w:val="21"/>
        </w:rPr>
        <w:t xml:space="preserve">Punkty za kryterium „Sprawność inwertera – Europejska sprawność ważona (nEU) - SI” </w:t>
      </w:r>
      <w:r>
        <w:rPr>
          <w:rFonts w:ascii="Calibri" w:hAnsi="Calibri" w:cs="Calibri"/>
          <w:bCs/>
          <w:sz w:val="21"/>
          <w:szCs w:val="21"/>
        </w:rPr>
        <w:t>będą przyznawane zgodnie z tabelą:</w:t>
      </w:r>
    </w:p>
    <w:tbl>
      <w:tblPr>
        <w:tblW w:w="5140" w:type="dxa"/>
        <w:tblInd w:w="167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11"/>
        <w:gridCol w:w="1273"/>
        <w:gridCol w:w="1956"/>
      </w:tblGrid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Wartość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jednostka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punkty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Do 96,4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96,5– 96,8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</w:tr>
      <w:tr w:rsidR="00AC1AA2">
        <w:tc>
          <w:tcPr>
            <w:tcW w:w="1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96,9 i więcej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%</w:t>
            </w:r>
          </w:p>
        </w:tc>
        <w:tc>
          <w:tcPr>
            <w:tcW w:w="1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C1AA2" w:rsidRDefault="00EF0242">
            <w:pPr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</w:p>
        </w:tc>
      </w:tr>
    </w:tbl>
    <w:p w:rsidR="00AC1AA2" w:rsidRDefault="00AC1AA2">
      <w:pPr>
        <w:spacing w:after="113"/>
        <w:ind w:left="720"/>
        <w:jc w:val="both"/>
        <w:rPr>
          <w:rFonts w:hint="eastAsia"/>
        </w:rPr>
      </w:pPr>
    </w:p>
    <w:p w:rsidR="00AC1AA2" w:rsidRDefault="00EF0242">
      <w:pPr>
        <w:numPr>
          <w:ilvl w:val="0"/>
          <w:numId w:val="2"/>
        </w:numPr>
        <w:spacing w:before="283" w:after="11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 xml:space="preserve">zmianę zapisów w pkt. </w:t>
      </w:r>
      <w:r>
        <w:rPr>
          <w:rFonts w:ascii="Calibri" w:hAnsi="Calibri"/>
          <w:b/>
          <w:bCs/>
          <w:sz w:val="21"/>
          <w:szCs w:val="21"/>
        </w:rPr>
        <w:t>5.5.3.1. oraz 5.5.3.2. SIWZ tj. warunków udziału w postępowaniu dotyczących zdolności technicznej i zawodowej w części I i II.</w:t>
      </w:r>
    </w:p>
    <w:p w:rsidR="00AC1AA2" w:rsidRDefault="00EF0242">
      <w:pPr>
        <w:spacing w:after="113"/>
        <w:ind w:left="72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Pkt. 5.5.3.1. SIWZ otrzymuje brzmienie:</w:t>
      </w:r>
    </w:p>
    <w:p w:rsidR="00AC1AA2" w:rsidRDefault="00EF0242">
      <w:pPr>
        <w:spacing w:after="113"/>
        <w:ind w:left="720"/>
        <w:jc w:val="both"/>
        <w:rPr>
          <w:rFonts w:hint="eastAsia"/>
        </w:rPr>
      </w:pPr>
      <w:r>
        <w:rPr>
          <w:rFonts w:ascii="Calibri" w:eastAsia="Times New Roman" w:hAnsi="Calibri" w:cs="Calibri"/>
          <w:sz w:val="21"/>
          <w:szCs w:val="21"/>
          <w:lang w:eastAsia="pl-PL" w:bidi="ar-SA"/>
        </w:rPr>
        <w:t xml:space="preserve">„5.5.3.1.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>Część I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 - 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 xml:space="preserve">wykonania w okresie ostatnich 5 lat przed terminem składania ofert, a jeżeli okres prowadzenia działalności jest krótszy - w tym okresie, dostaw wraz z montażem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instalacji fotowoltaicznych na budynkach w ilości minimum 150 instalacji 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>w ramach jednego zamów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>ienia (umowy)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 lub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instalacji kolektorów słonecznych w ilości minimum 150 instalacji o łącznej mocy 500kWp 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 xml:space="preserve">w ramach jednego zamówienia (umowy).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Przez instalację fotowoltaiczną należy rozumieć zespół urządzeń i elementów (panele słoneczne, falowniki czyli in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wertery fotowoltaiczne, zabezpieczenie AC/DC, przewody solarne, stelaże), które mają za zadanie przetworzyć energię promieniowania słonecznego na energię elektryczną.”</w:t>
      </w:r>
    </w:p>
    <w:p w:rsidR="00AC1AA2" w:rsidRDefault="00EF0242">
      <w:pPr>
        <w:spacing w:after="113"/>
        <w:ind w:left="720"/>
        <w:jc w:val="both"/>
        <w:rPr>
          <w:rFonts w:hint="eastAsia"/>
        </w:rPr>
      </w:pP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Pkt. 5.5.3.2. SIWZ otrzymuje brzmienie:</w:t>
      </w:r>
    </w:p>
    <w:p w:rsidR="00AC1AA2" w:rsidRDefault="00EF0242">
      <w:pPr>
        <w:spacing w:after="113"/>
        <w:ind w:left="720"/>
        <w:jc w:val="both"/>
        <w:rPr>
          <w:rFonts w:hint="eastAsia"/>
        </w:rPr>
      </w:pPr>
      <w:r>
        <w:rPr>
          <w:rFonts w:ascii="Calibri" w:eastAsia="Calibri" w:hAnsi="Calibri" w:cs="Calibri"/>
          <w:sz w:val="21"/>
          <w:szCs w:val="21"/>
          <w:lang w:eastAsia="ar-SA" w:bidi="ar-SA"/>
        </w:rPr>
        <w:t xml:space="preserve">5.5.3.2.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>Część II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- wykonania w okresie ostatnic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h 5 lat przed terminem składania ofert, a jeżeli okres prowadzenia działalności jest krótszy - w tym okresie, dostaw wraz z montażem instalacji fotowoltaicznych na budynkach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w ilości minimum 120 instalacji 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w ramach jednego zamówienia (umowy) </w:t>
      </w:r>
      <w:r>
        <w:rPr>
          <w:rFonts w:ascii="Calibri" w:eastAsia="ArialMT" w:hAnsi="Calibri" w:cs="Calibri"/>
          <w:b/>
          <w:bCs/>
          <w:sz w:val="21"/>
          <w:szCs w:val="21"/>
          <w:lang w:eastAsia="ar-SA" w:bidi="ar-SA"/>
        </w:rPr>
        <w:t xml:space="preserve">lub 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>instalacji</w:t>
      </w:r>
      <w:r>
        <w:rPr>
          <w:rFonts w:ascii="Calibri" w:eastAsia="ArialMT" w:hAnsi="Calibri" w:cs="Calibri"/>
          <w:b/>
          <w:bCs/>
          <w:sz w:val="21"/>
          <w:szCs w:val="21"/>
          <w:u w:val="single"/>
          <w:lang w:eastAsia="ar-SA" w:bidi="ar-SA"/>
        </w:rPr>
        <w:t xml:space="preserve"> kolektorów słonecznych w ilości minimum 120 instalacji o łącznej mocy 500kWp </w:t>
      </w:r>
      <w:r>
        <w:rPr>
          <w:rFonts w:ascii="Calibri" w:eastAsia="ArialMT" w:hAnsi="Calibri" w:cs="Calibri"/>
          <w:sz w:val="21"/>
          <w:szCs w:val="21"/>
          <w:lang w:eastAsia="ar-SA" w:bidi="ar-SA"/>
        </w:rPr>
        <w:t>w ramach jednego zamówienia (umowy).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 xml:space="preserve"> Przez instalację fotowoltaiczną należy rozumieć zespół urządzeń i elementów (panele słoneczne, falowniki czyli inwertery fotowoltaiczne, zabe</w:t>
      </w:r>
      <w:r>
        <w:rPr>
          <w:rFonts w:ascii="Calibri" w:eastAsia="ArialMT" w:hAnsi="Calibri" w:cs="Calibri"/>
          <w:bCs/>
          <w:sz w:val="21"/>
          <w:szCs w:val="21"/>
          <w:lang w:eastAsia="ar-SA" w:bidi="ar-SA"/>
        </w:rPr>
        <w:t>zpieczenie AC/DC, przewody solarne, stelaże), które mają za zadanie przetworzyć energię promieniowania słonecznego na energię elektryczną.</w:t>
      </w:r>
    </w:p>
    <w:p w:rsidR="00AC1AA2" w:rsidRDefault="00EF0242">
      <w:pPr>
        <w:numPr>
          <w:ilvl w:val="0"/>
          <w:numId w:val="2"/>
        </w:numPr>
        <w:spacing w:before="283" w:after="11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zmianę zapisów w pkt. 8.2.1.2 - 8.2.1.3. oraz 8.2.2.2 - 8.2.2.3. SIWZ tj. dokumentów potwierdzających spełnianie prze</w:t>
      </w:r>
      <w:r>
        <w:rPr>
          <w:rFonts w:ascii="Calibri" w:hAnsi="Calibri"/>
          <w:b/>
          <w:bCs/>
          <w:sz w:val="21"/>
          <w:szCs w:val="21"/>
        </w:rPr>
        <w:t>z oferowane dostawy wymagań określonych przez Zamawiającego dla części I i II</w:t>
      </w:r>
    </w:p>
    <w:p w:rsidR="00AC1AA2" w:rsidRDefault="00EF0242">
      <w:pPr>
        <w:spacing w:after="113"/>
        <w:ind w:left="72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Pkt. 8.2.1.2. - 8.2.1.3. SIWZ otrzymują brzmienie:</w:t>
      </w:r>
    </w:p>
    <w:p w:rsidR="00AC1AA2" w:rsidRDefault="00EF0242">
      <w:pPr>
        <w:widowControl w:val="0"/>
        <w:spacing w:after="57" w:line="276" w:lineRule="auto"/>
        <w:ind w:left="1497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 xml:space="preserve">„8.2.1.2. certyfikat potwierdzający zgodność modułu PV z normą IEC 61215, IEC 61730 lub </w:t>
      </w: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lastRenderedPageBreak/>
        <w:t>normami równoważnymi wydanymi przez jed</w:t>
      </w: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>nostkę oceniającą zgodność zgodnie z art. 30b ust. 1 Pzp.</w:t>
      </w:r>
    </w:p>
    <w:p w:rsidR="00AC1AA2" w:rsidRDefault="00EF0242">
      <w:pPr>
        <w:widowControl w:val="0"/>
        <w:spacing w:after="57" w:line="276" w:lineRule="auto"/>
        <w:ind w:left="1497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 xml:space="preserve">8.2.1.3.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 w:bidi="ar-SA"/>
        </w:rPr>
        <w:t xml:space="preserve">certyfikat potwierdzający zgodność inwertera z normą </w:t>
      </w:r>
      <w:r>
        <w:rPr>
          <w:rFonts w:ascii="Calibri" w:eastAsia="ArialMT" w:hAnsi="Calibri" w:cs="Liberation Serif"/>
          <w:iCs/>
          <w:color w:val="000000"/>
          <w:sz w:val="21"/>
          <w:szCs w:val="21"/>
          <w:lang w:eastAsia="ar-SA" w:bidi="ar-SA"/>
        </w:rPr>
        <w:t xml:space="preserve">PN-EN 61000-6-1:2008, PN-EN 61000-6-2/A1:2012, PN-EN50438:2014-02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 w:bidi="ar-SA"/>
        </w:rPr>
        <w:t xml:space="preserve">lub normami równoważnymi wydanymi przez jednostkę oceniającą zgodność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 w:bidi="ar-SA"/>
        </w:rPr>
        <w:t>zgodnie z art. 30b ust. 1 Pzp</w:t>
      </w: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>”</w:t>
      </w:r>
    </w:p>
    <w:p w:rsidR="00AC1AA2" w:rsidRDefault="00EF0242">
      <w:pPr>
        <w:widowControl w:val="0"/>
        <w:spacing w:after="57" w:line="276" w:lineRule="auto"/>
        <w:ind w:left="777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>Pkt. 8.2.2.2.  - 8.2.2.3 SIWZ otrzymują brzmienie:</w:t>
      </w:r>
    </w:p>
    <w:p w:rsidR="00AC1AA2" w:rsidRDefault="00EF0242">
      <w:pPr>
        <w:widowControl w:val="0"/>
        <w:tabs>
          <w:tab w:val="left" w:pos="220"/>
          <w:tab w:val="left" w:pos="373"/>
          <w:tab w:val="left" w:pos="720"/>
          <w:tab w:val="left" w:pos="873"/>
        </w:tabs>
        <w:spacing w:line="276" w:lineRule="auto"/>
        <w:ind w:left="1497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>„8.2.2.2. certyfikat potwierdzający zgodność modułu PV z normą IEC 61215, IEC 61730 lub normami równoważnymi wydanymi przez jednostkę oceniającą zgodność zgodnie z art. 30b u</w:t>
      </w: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 xml:space="preserve">st. 1 Pzp. </w:t>
      </w:r>
    </w:p>
    <w:p w:rsidR="00AC1AA2" w:rsidRDefault="00EF0242">
      <w:pPr>
        <w:widowControl w:val="0"/>
        <w:tabs>
          <w:tab w:val="left" w:pos="220"/>
          <w:tab w:val="left" w:pos="373"/>
          <w:tab w:val="left" w:pos="720"/>
          <w:tab w:val="left" w:pos="873"/>
        </w:tabs>
        <w:spacing w:after="227" w:line="276" w:lineRule="auto"/>
        <w:ind w:left="1497"/>
        <w:jc w:val="both"/>
        <w:rPr>
          <w:rFonts w:ascii="Calibri" w:hAnsi="Calibri"/>
          <w:sz w:val="21"/>
          <w:szCs w:val="21"/>
        </w:rPr>
      </w:pPr>
      <w:r>
        <w:rPr>
          <w:rFonts w:ascii="Calibri" w:eastAsia="ArialMT" w:hAnsi="Calibri" w:cs="Calibri"/>
          <w:iCs/>
          <w:color w:val="000000"/>
          <w:sz w:val="21"/>
          <w:szCs w:val="21"/>
          <w:lang w:eastAsia="ar-SA" w:bidi="ar-SA"/>
        </w:rPr>
        <w:t xml:space="preserve">8.2.2.3. certyfikat potwierdzający zgodność inwertera z normą </w:t>
      </w:r>
      <w:r>
        <w:rPr>
          <w:rFonts w:ascii="Calibri" w:eastAsia="ArialMT" w:hAnsi="Calibri" w:cs="Liberation Serif"/>
          <w:iCs/>
          <w:color w:val="000000"/>
          <w:sz w:val="21"/>
          <w:szCs w:val="21"/>
          <w:lang w:eastAsia="ar-SA" w:bidi="ar-SA"/>
        </w:rPr>
        <w:t xml:space="preserve">PN-EN 61000-6-1:2008, PN-EN 61000-6-2/A1:2012, PN-EN50438:2014-02 </w:t>
      </w:r>
      <w:r>
        <w:rPr>
          <w:rFonts w:ascii="Calibri" w:eastAsia="ArialMT" w:hAnsi="Calibri" w:cs="Calibri"/>
          <w:iCs/>
          <w:color w:val="000000"/>
          <w:sz w:val="21"/>
          <w:szCs w:val="21"/>
          <w:lang w:eastAsia="ar-SA" w:bidi="ar-SA"/>
        </w:rPr>
        <w:t>lub normami równoważnymi wydanymi przez jednostkę oceniającą zgodność zgodnie z art. 30b ust. 1 Pzp.</w:t>
      </w:r>
      <w:r>
        <w:rPr>
          <w:rFonts w:ascii="Calibri" w:eastAsia="Times New Roman" w:hAnsi="Calibri" w:cs="Liberation Serif"/>
          <w:iCs/>
          <w:color w:val="000000"/>
          <w:sz w:val="21"/>
          <w:szCs w:val="21"/>
          <w:lang w:eastAsia="pl-PL" w:bidi="ar-SA"/>
        </w:rPr>
        <w:t>”</w:t>
      </w:r>
    </w:p>
    <w:p w:rsidR="00AC1AA2" w:rsidRDefault="00EF0242">
      <w:pPr>
        <w:numPr>
          <w:ilvl w:val="0"/>
          <w:numId w:val="2"/>
        </w:numPr>
        <w:spacing w:before="283" w:after="11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dodanie pkt. 1</w:t>
      </w:r>
      <w:r>
        <w:rPr>
          <w:rFonts w:ascii="Calibri" w:hAnsi="Calibri"/>
          <w:b/>
          <w:bCs/>
          <w:sz w:val="21"/>
          <w:szCs w:val="21"/>
        </w:rPr>
        <w:t>6.9. do SIWZ o treści:</w:t>
      </w:r>
    </w:p>
    <w:p w:rsidR="00AC1AA2" w:rsidRDefault="00EF0242">
      <w:pPr>
        <w:spacing w:before="283" w:after="113"/>
        <w:ind w:left="72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„16.9. Cenę oferty należy obliczyć oddzielenie dla każdej z części.”</w:t>
      </w:r>
    </w:p>
    <w:p w:rsidR="00AC1AA2" w:rsidRDefault="00EF0242">
      <w:pPr>
        <w:numPr>
          <w:ilvl w:val="0"/>
          <w:numId w:val="2"/>
        </w:numPr>
        <w:spacing w:before="283" w:after="113"/>
        <w:jc w:val="both"/>
        <w:rPr>
          <w:rFonts w:hint="eastAsia"/>
        </w:rPr>
      </w:pPr>
      <w:r>
        <w:rPr>
          <w:rStyle w:val="UMwyrniony"/>
          <w:rFonts w:ascii="Calibri" w:eastAsia="TimesNewRoman" w:hAnsi="Calibri" w:cs="Calibri"/>
          <w:bCs/>
          <w:iCs w:val="0"/>
          <w:color w:val="000000"/>
          <w:spacing w:val="2"/>
          <w:sz w:val="21"/>
          <w:szCs w:val="21"/>
          <w:lang w:eastAsia="pl-PL"/>
        </w:rPr>
        <w:t xml:space="preserve">dodanie po pkt 8.1.1. SIWZ punktów 8.1.2. - 8.1.5 o treści: 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„8.1.2. </w:t>
      </w:r>
      <w:r>
        <w:rPr>
          <w:rStyle w:val="UMwyrniony"/>
          <w:rFonts w:ascii="Calibri" w:eastAsia="TimesNewRoman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Style w:val="UMwyrniony"/>
          <w:rFonts w:ascii="Calibri" w:eastAsia="ArialMT" w:hAnsi="Calibri" w:cs="Calibri"/>
          <w:bCs/>
          <w:color w:val="000000"/>
          <w:spacing w:val="2"/>
          <w:sz w:val="21"/>
          <w:szCs w:val="21"/>
          <w:lang w:eastAsia="ar-SA"/>
        </w:rPr>
        <w:t xml:space="preserve">W przypadku składania oferty na część I i II 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zamawiający dopuszcza -pod warunkiem spełniania 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>warunku udziału w postępowaniu, aby wykonawca posłużył się tymi samymi dokumentami (dowodami określającymi czy te dostawy zostały wykonane należycie) dla obu części. Nie ma wymogu składania „podwójnych” dokumentów.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8.1.3. </w:t>
      </w:r>
      <w:r>
        <w:rPr>
          <w:rStyle w:val="UMwyrniony"/>
          <w:rFonts w:ascii="Calibri" w:eastAsia="ArialMT" w:hAnsi="Calibri" w:cs="Calibri"/>
          <w:bCs/>
          <w:color w:val="000000"/>
          <w:spacing w:val="2"/>
          <w:sz w:val="21"/>
          <w:szCs w:val="21"/>
          <w:lang w:eastAsia="ar-SA"/>
        </w:rPr>
        <w:t>W przypadku składania oferty na cz</w:t>
      </w:r>
      <w:r>
        <w:rPr>
          <w:rStyle w:val="UMwyrniony"/>
          <w:rFonts w:ascii="Calibri" w:eastAsia="ArialMT" w:hAnsi="Calibri" w:cs="Calibri"/>
          <w:bCs/>
          <w:color w:val="000000"/>
          <w:spacing w:val="2"/>
          <w:sz w:val="21"/>
          <w:szCs w:val="21"/>
          <w:lang w:eastAsia="ar-SA"/>
        </w:rPr>
        <w:t xml:space="preserve">ęść III i IV 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>zamawiający dopuszcza -pod warunkiem spełniania warunku udziału w postępowaniu, aby wykonawca posłużył się tymi samymi dokumentami (dowodami określającymi czy te dostawy zostały wykonane należycie) dla obu części. Nie ma wymogu składania „podw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>ójnych” dokumentów.</w:t>
      </w:r>
    </w:p>
    <w:p w:rsidR="00AC1AA2" w:rsidRDefault="00EF0242">
      <w:pPr>
        <w:pStyle w:val="Normalny1"/>
        <w:spacing w:after="57" w:line="276" w:lineRule="auto"/>
        <w:ind w:left="777"/>
        <w:jc w:val="both"/>
      </w:pP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8.1.4. </w:t>
      </w:r>
      <w:r>
        <w:rPr>
          <w:rStyle w:val="UMwyrniony"/>
          <w:rFonts w:ascii="Calibri" w:eastAsia="TimesNewRoman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 </w:t>
      </w:r>
      <w:r>
        <w:rPr>
          <w:rStyle w:val="UMwyrniony"/>
          <w:rFonts w:ascii="Calibri" w:eastAsia="ArialMT" w:hAnsi="Calibri" w:cs="Calibri"/>
          <w:bCs/>
          <w:color w:val="000000"/>
          <w:spacing w:val="2"/>
          <w:sz w:val="21"/>
          <w:szCs w:val="21"/>
          <w:lang w:eastAsia="ar-SA"/>
        </w:rPr>
        <w:t>W przypadku składania oferty na część V i VI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 xml:space="preserve"> zamawiający dopuszcza -pod warunkiem spełniania warunku udziału w postępowaniu, aby wykonawca posłużył się tymi samymi dokumentami (dowodami określającymi czy te dostawy zostały wykon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/>
        </w:rPr>
        <w:t>ane należycie) dla obu części. Nie ma wymogu składania „podwójnych” dokumentów.</w:t>
      </w:r>
    </w:p>
    <w:p w:rsidR="00AC1AA2" w:rsidRDefault="00EF0242">
      <w:pPr>
        <w:widowControl w:val="0"/>
        <w:spacing w:after="227" w:line="276" w:lineRule="auto"/>
        <w:ind w:left="777"/>
        <w:jc w:val="both"/>
        <w:rPr>
          <w:rFonts w:ascii="Calibri" w:hAnsi="Calibri"/>
          <w:sz w:val="21"/>
          <w:szCs w:val="21"/>
        </w:rPr>
      </w:pP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 w:bidi="ar-SA"/>
        </w:rPr>
        <w:t xml:space="preserve">8.1.5. </w:t>
      </w:r>
      <w:r>
        <w:rPr>
          <w:rStyle w:val="UMwyrniony"/>
          <w:rFonts w:ascii="Calibri" w:eastAsia="TimesNewRoman" w:hAnsi="Calibri" w:cs="Calibri"/>
          <w:b w:val="0"/>
          <w:color w:val="000000"/>
          <w:spacing w:val="2"/>
          <w:sz w:val="21"/>
          <w:szCs w:val="21"/>
          <w:lang w:eastAsia="ar-SA" w:bidi="ar-SA"/>
        </w:rPr>
        <w:t xml:space="preserve"> </w:t>
      </w:r>
      <w:r>
        <w:rPr>
          <w:rStyle w:val="UMwyrniony"/>
          <w:rFonts w:ascii="Calibri" w:eastAsia="ArialMT" w:hAnsi="Calibri" w:cs="Calibri"/>
          <w:bCs/>
          <w:color w:val="000000"/>
          <w:spacing w:val="2"/>
          <w:sz w:val="21"/>
          <w:szCs w:val="21"/>
          <w:lang w:eastAsia="ar-SA" w:bidi="ar-SA"/>
        </w:rPr>
        <w:t xml:space="preserve">W przypadku składania oferty na część VII i VIII 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 w:bidi="ar-SA"/>
        </w:rPr>
        <w:t xml:space="preserve">zamawiający dopuszcza -pod warunkiem spełniania warunku udziału w postępowaniu, aby wykonawca posłużył się tymi samymi </w:t>
      </w:r>
      <w:r>
        <w:rPr>
          <w:rStyle w:val="UMwyrniony"/>
          <w:rFonts w:ascii="Calibri" w:eastAsia="ArialMT" w:hAnsi="Calibri" w:cs="Calibri"/>
          <w:b w:val="0"/>
          <w:color w:val="000000"/>
          <w:spacing w:val="2"/>
          <w:sz w:val="21"/>
          <w:szCs w:val="21"/>
          <w:lang w:eastAsia="ar-SA" w:bidi="ar-SA"/>
        </w:rPr>
        <w:t>dokumentami (dowodami określającymi czy te dostawy zostały wykonane należycie) dla obu części. Nie ma wymogu składania „podwójnych” dokumentów.”</w:t>
      </w:r>
    </w:p>
    <w:p w:rsidR="00AC1AA2" w:rsidRDefault="00AC1AA2">
      <w:pPr>
        <w:spacing w:after="113"/>
        <w:jc w:val="both"/>
        <w:rPr>
          <w:rFonts w:ascii="Calibri" w:hAnsi="Calibri"/>
          <w:sz w:val="21"/>
          <w:szCs w:val="21"/>
        </w:rPr>
      </w:pPr>
    </w:p>
    <w:p w:rsidR="00AC1AA2" w:rsidRDefault="00EF0242">
      <w:pPr>
        <w:overflowPunct w:val="0"/>
        <w:spacing w:before="113" w:after="57" w:line="276" w:lineRule="auto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Liberation Serif"/>
          <w:b/>
          <w:bCs/>
          <w:sz w:val="21"/>
          <w:szCs w:val="21"/>
        </w:rPr>
        <w:t>Pozostałe zapisy Specyfikacji Istotnych Warunków Zamówienia pozostają bez zmian.</w:t>
      </w:r>
    </w:p>
    <w:p w:rsidR="00AC1AA2" w:rsidRDefault="00AC1AA2">
      <w:pPr>
        <w:pStyle w:val="Normalny1"/>
        <w:spacing w:after="60" w:line="276" w:lineRule="auto"/>
        <w:jc w:val="both"/>
        <w:rPr>
          <w:rFonts w:ascii="Calibri" w:hAnsi="Calibri"/>
          <w:sz w:val="21"/>
          <w:szCs w:val="21"/>
        </w:rPr>
      </w:pPr>
    </w:p>
    <w:p w:rsidR="00AC1AA2" w:rsidRDefault="00AC1AA2">
      <w:pPr>
        <w:jc w:val="both"/>
        <w:rPr>
          <w:rFonts w:ascii="Calibri" w:hAnsi="Calibri"/>
          <w:color w:val="000000"/>
          <w:sz w:val="21"/>
          <w:szCs w:val="21"/>
        </w:rPr>
      </w:pPr>
    </w:p>
    <w:p w:rsidR="00AC1AA2" w:rsidRDefault="00AC1AA2">
      <w:pPr>
        <w:jc w:val="both"/>
        <w:rPr>
          <w:rFonts w:ascii="Calibri" w:hAnsi="Calibri"/>
          <w:color w:val="000000"/>
          <w:sz w:val="22"/>
          <w:szCs w:val="22"/>
        </w:rPr>
      </w:pPr>
    </w:p>
    <w:p w:rsidR="00AC1AA2" w:rsidRDefault="00EF0242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z up. Wójta Gminy Tryńcza</w:t>
      </w:r>
    </w:p>
    <w:p w:rsidR="00AC1AA2" w:rsidRDefault="00EF0242">
      <w:pPr>
        <w:pStyle w:val="DomylneA"/>
        <w:spacing w:after="0"/>
        <w:ind w:firstLine="4383"/>
        <w:jc w:val="center"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(-)</w:t>
      </w:r>
    </w:p>
    <w:p w:rsidR="00AC1AA2" w:rsidRDefault="00EF0242">
      <w:pPr>
        <w:pStyle w:val="DomylneA"/>
        <w:spacing w:after="0" w:line="276" w:lineRule="auto"/>
        <w:ind w:firstLine="4383"/>
        <w:jc w:val="center"/>
      </w:pPr>
      <w:r>
        <w:rPr>
          <w:rFonts w:ascii="Calibri" w:hAnsi="Calibri" w:cs="Calibri"/>
          <w:i/>
          <w:iCs/>
          <w:sz w:val="22"/>
          <w:szCs w:val="22"/>
        </w:rPr>
        <w:t>Tomasz Penkal</w:t>
      </w:r>
    </w:p>
    <w:sectPr w:rsidR="00AC1AA2">
      <w:headerReference w:type="default" r:id="rId9"/>
      <w:footerReference w:type="default" r:id="rId10"/>
      <w:pgSz w:w="11906" w:h="16838"/>
      <w:pgMar w:top="1380" w:right="1134" w:bottom="925" w:left="1134" w:header="480" w:footer="476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242" w:rsidRDefault="00EF0242">
      <w:pPr>
        <w:rPr>
          <w:rFonts w:hint="eastAsia"/>
        </w:rPr>
      </w:pPr>
      <w:r>
        <w:separator/>
      </w:r>
    </w:p>
  </w:endnote>
  <w:endnote w:type="continuationSeparator" w:id="0">
    <w:p w:rsidR="00EF0242" w:rsidRDefault="00EF024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AA2" w:rsidRDefault="00EF0242">
    <w:pPr>
      <w:pStyle w:val="Stopka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 w:rsidR="00CC797D">
      <w:rPr>
        <w:rFonts w:ascii="Calibri" w:hAnsi="Calibri"/>
        <w:noProof/>
        <w:sz w:val="20"/>
        <w:szCs w:val="20"/>
      </w:rPr>
      <w:t>25</w:t>
    </w:r>
    <w:r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242" w:rsidRDefault="00EF0242">
      <w:pPr>
        <w:rPr>
          <w:rFonts w:hint="eastAsia"/>
        </w:rPr>
      </w:pPr>
      <w:r>
        <w:separator/>
      </w:r>
    </w:p>
  </w:footnote>
  <w:footnote w:type="continuationSeparator" w:id="0">
    <w:p w:rsidR="00EF0242" w:rsidRDefault="00EF024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AA2" w:rsidRDefault="00EF0242">
    <w:pPr>
      <w:pStyle w:val="Nagwek"/>
      <w:rPr>
        <w:rFonts w:hint="eastAsia"/>
      </w:rPr>
    </w:pPr>
    <w:r>
      <w:rPr>
        <w:noProof/>
        <w:lang w:eastAsia="pl-PL" w:bidi="ar-SA"/>
      </w:rPr>
      <w:drawing>
        <wp:inline distT="0" distB="0" distL="0" distR="0">
          <wp:extent cx="5995670" cy="476250"/>
          <wp:effectExtent l="0" t="0" r="0" b="0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2117" r="-155" b="-2117"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1AA2" w:rsidRDefault="00AC1AA2">
    <w:pPr>
      <w:pStyle w:val="Tekstpodstawowy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982"/>
    <w:multiLevelType w:val="multilevel"/>
    <w:tmpl w:val="E384F7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1D5F28"/>
    <w:multiLevelType w:val="multilevel"/>
    <w:tmpl w:val="875C45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1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1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1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1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1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1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1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1"/>
        <w:szCs w:val="24"/>
      </w:rPr>
    </w:lvl>
  </w:abstractNum>
  <w:abstractNum w:abstractNumId="2" w15:restartNumberingAfterBreak="0">
    <w:nsid w:val="6CC7549C"/>
    <w:multiLevelType w:val="multilevel"/>
    <w:tmpl w:val="46EC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1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1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1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1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1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1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1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1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1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A2"/>
    <w:rsid w:val="00AC1AA2"/>
    <w:rsid w:val="00CC797D"/>
    <w:rsid w:val="00EF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14336-8C86-4124-BD68-071C5490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Pr>
      <w:rFonts w:ascii="Calibri" w:hAnsi="Calibri"/>
      <w:b/>
      <w:bCs/>
      <w:sz w:val="21"/>
      <w:szCs w:val="24"/>
    </w:rPr>
  </w:style>
  <w:style w:type="character" w:customStyle="1" w:styleId="pojedynczapozycja">
    <w:name w:val="pojedyncza_pozycja"/>
    <w:qFormat/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UMwyrniony">
    <w:name w:val="UM_wyróżniony"/>
    <w:basedOn w:val="Wyrnienie"/>
    <w:qFormat/>
    <w:rPr>
      <w:rFonts w:ascii="Arial" w:hAnsi="Arial"/>
      <w:b/>
      <w:i w:val="0"/>
      <w:iCs/>
      <w:spacing w:val="0"/>
      <w:w w:val="100"/>
    </w:rPr>
  </w:style>
  <w:style w:type="character" w:customStyle="1" w:styleId="WW-Domylnaczcionkaakapitu">
    <w:name w:val="WW-Domyślna czcionka akapitu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73B"/>
    <w:rPr>
      <w:rFonts w:ascii="Times New Roman" w:hAnsi="Times New Roman" w:cs="Mangal"/>
      <w:sz w:val="18"/>
      <w:szCs w:val="16"/>
    </w:rPr>
  </w:style>
  <w:style w:type="character" w:customStyle="1" w:styleId="WW8Num3z0">
    <w:name w:val="WW8Num3z0"/>
    <w:qFormat/>
    <w:rPr>
      <w:rFonts w:ascii="Calibri" w:eastAsia="Arial" w:hAnsi="Calibri" w:cs="Calibri"/>
      <w:b w:val="0"/>
      <w:bCs/>
    </w:rPr>
  </w:style>
  <w:style w:type="character" w:customStyle="1" w:styleId="WW8Num3z1">
    <w:name w:val="WW8Num3z1"/>
    <w:qFormat/>
    <w:rPr>
      <w:rFonts w:ascii="Calibri" w:eastAsia="Arial" w:hAnsi="Calibri" w:cs="Calibri"/>
      <w:b w:val="0"/>
      <w:bCs w:val="0"/>
      <w:iCs/>
      <w:color w:val="00000A"/>
      <w:kern w:val="0"/>
      <w:sz w:val="20"/>
      <w:szCs w:val="24"/>
      <w:highlight w:val="white"/>
      <w:lang w:val="pl-PL" w:eastAsia="zh-CN" w:bidi="hi-IN"/>
    </w:rPr>
  </w:style>
  <w:style w:type="character" w:customStyle="1" w:styleId="WW8Num3z2">
    <w:name w:val="WW8Num3z2"/>
    <w:qFormat/>
    <w:rPr>
      <w:rFonts w:ascii="Calibri" w:eastAsia="Arial" w:hAnsi="Calibri" w:cs="Calibri"/>
      <w:b w:val="0"/>
      <w:bCs w:val="0"/>
      <w:iCs/>
      <w:strike w:val="0"/>
      <w:dstrike w:val="0"/>
      <w:vanish w:val="0"/>
      <w:color w:val="00000A"/>
      <w:kern w:val="0"/>
      <w:sz w:val="20"/>
      <w:szCs w:val="23"/>
      <w:highlight w:val="white"/>
      <w:lang w:val="pl-PL" w:eastAsia="pl-PL" w:bidi="ar-SA"/>
    </w:rPr>
  </w:style>
  <w:style w:type="character" w:customStyle="1" w:styleId="WW8Num3z3">
    <w:name w:val="WW8Num3z3"/>
    <w:qFormat/>
    <w:rPr>
      <w:rFonts w:ascii="Calibri" w:eastAsia="ArialMT" w:hAnsi="Calibri" w:cs="Calibri"/>
      <w:bCs/>
      <w:iCs/>
      <w:color w:val="000000"/>
      <w:sz w:val="20"/>
      <w:szCs w:val="20"/>
      <w:lang w:eastAsia="ar-SA" w:bidi="ar-SA"/>
    </w:rPr>
  </w:style>
  <w:style w:type="character" w:customStyle="1" w:styleId="WW8Num3z4">
    <w:name w:val="WW8Num3z4"/>
    <w:qFormat/>
    <w:rPr>
      <w:rFonts w:ascii="Symbol" w:hAnsi="Symbol" w:cs="Symbol"/>
      <w:b w:val="0"/>
      <w:bCs w:val="0"/>
      <w:sz w:val="20"/>
    </w:rPr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95210"/>
    <w:rPr>
      <w:rFonts w:cs="Mangal"/>
      <w:b/>
      <w:bCs/>
      <w:szCs w:val="18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ny1">
    <w:name w:val="Normalny1"/>
    <w:qFormat/>
    <w:pPr>
      <w:widowControl w:val="0"/>
      <w:spacing w:line="288" w:lineRule="auto"/>
    </w:pPr>
    <w:rPr>
      <w:rFonts w:ascii="Times New Roman" w:eastAsia="Arial Unicode MS" w:hAnsi="Times New Roman" w:cs="Times New Roman"/>
      <w:color w:val="00000A"/>
      <w:sz w:val="24"/>
      <w:lang w:bidi="ar-SA"/>
    </w:rPr>
  </w:style>
  <w:style w:type="paragraph" w:customStyle="1" w:styleId="DomylneA">
    <w:name w:val="Domyślne A"/>
    <w:qFormat/>
    <w:pPr>
      <w:tabs>
        <w:tab w:val="left" w:pos="220"/>
        <w:tab w:val="left" w:pos="72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sz w:val="24"/>
      <w:lang w:bidi="ar-SA"/>
    </w:rPr>
  </w:style>
  <w:style w:type="paragraph" w:styleId="Stopka">
    <w:name w:val="footer"/>
    <w:basedOn w:val="Gwkaistopka"/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Calibri" w:hAnsi="Calibri"/>
      <w:color w:val="000000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73B"/>
    <w:rPr>
      <w:rFonts w:ascii="Times New Roman" w:hAnsi="Times New Roman" w:cs="Mangal"/>
      <w:sz w:val="18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customStyle="1" w:styleId="SIWZ2">
    <w:name w:val="SIWZ 2"/>
    <w:basedOn w:val="SIWZpkt"/>
    <w:qFormat/>
    <w:pPr>
      <w:spacing w:before="0" w:after="113" w:line="100" w:lineRule="atLeast"/>
    </w:pPr>
    <w:rPr>
      <w:b w:val="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95210"/>
    <w:rPr>
      <w:b/>
      <w:bCs/>
    </w:rPr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.pl/elementy-prowadzenia-kabli/rury-i-weze-oslonowe/rury-elektroinstalacyjne-gladkie-z-tworzywa-3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DE41C-EA2B-45D4-AB8E-7361D6D8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12894</Words>
  <Characters>77365</Characters>
  <Application>Microsoft Office Word</Application>
  <DocSecurity>0</DocSecurity>
  <Lines>644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Widomski</dc:creator>
  <dc:description/>
  <cp:lastModifiedBy>Kasia1</cp:lastModifiedBy>
  <cp:revision>2</cp:revision>
  <dcterms:created xsi:type="dcterms:W3CDTF">2020-06-26T11:09:00Z</dcterms:created>
  <dcterms:modified xsi:type="dcterms:W3CDTF">2020-06-26T11:09:00Z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