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9E" w:rsidRDefault="00B80E9E">
      <w:pPr>
        <w:jc w:val="both"/>
        <w:rPr>
          <w:b/>
          <w:sz w:val="21"/>
          <w:szCs w:val="21"/>
        </w:rPr>
      </w:pPr>
      <w:bookmarkStart w:id="0" w:name="_GoBack"/>
      <w:bookmarkEnd w:id="0"/>
    </w:p>
    <w:p w:rsidR="00B80E9E" w:rsidRDefault="00F9521E">
      <w:pPr>
        <w:pStyle w:val="Normalny1"/>
        <w:spacing w:after="60" w:line="360" w:lineRule="auto"/>
        <w:jc w:val="right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>Tryńcza, dnia 29.06.2020 r.</w:t>
      </w:r>
    </w:p>
    <w:p w:rsidR="00B80E9E" w:rsidRDefault="00F9521E">
      <w:pPr>
        <w:pStyle w:val="Normalny1"/>
        <w:spacing w:after="60" w:line="360" w:lineRule="auto"/>
        <w:rPr>
          <w:rFonts w:ascii="Calibri" w:hAnsi="Calibri"/>
          <w:color w:val="auto"/>
          <w:sz w:val="21"/>
          <w:szCs w:val="21"/>
        </w:rPr>
      </w:pPr>
      <w:bookmarkStart w:id="1" w:name="__DdeLink__38690_3887344822"/>
      <w:r>
        <w:rPr>
          <w:rFonts w:ascii="Calibri" w:hAnsi="Calibri" w:cs="Calibri"/>
          <w:color w:val="auto"/>
          <w:sz w:val="21"/>
          <w:szCs w:val="21"/>
        </w:rPr>
        <w:t xml:space="preserve">ZNAK: </w:t>
      </w:r>
      <w:bookmarkEnd w:id="1"/>
      <w:r>
        <w:rPr>
          <w:rFonts w:ascii="Calibri" w:hAnsi="Calibri" w:cs="Calibri"/>
          <w:color w:val="auto"/>
          <w:sz w:val="21"/>
          <w:szCs w:val="21"/>
        </w:rPr>
        <w:t>UIB.271.10.2020</w:t>
      </w:r>
    </w:p>
    <w:p w:rsidR="00B80E9E" w:rsidRDefault="00B80E9E">
      <w:pPr>
        <w:jc w:val="both"/>
        <w:rPr>
          <w:b/>
          <w:sz w:val="21"/>
          <w:szCs w:val="21"/>
        </w:rPr>
      </w:pPr>
    </w:p>
    <w:p w:rsidR="00B80E9E" w:rsidRDefault="00B80E9E">
      <w:pPr>
        <w:jc w:val="both"/>
        <w:rPr>
          <w:b/>
          <w:sz w:val="21"/>
          <w:szCs w:val="21"/>
        </w:rPr>
      </w:pPr>
    </w:p>
    <w:p w:rsidR="00B80E9E" w:rsidRDefault="00B80E9E">
      <w:pPr>
        <w:jc w:val="both"/>
        <w:rPr>
          <w:b/>
          <w:sz w:val="21"/>
          <w:szCs w:val="21"/>
        </w:rPr>
      </w:pPr>
    </w:p>
    <w:p w:rsidR="00B80E9E" w:rsidRDefault="00F9521E">
      <w:pPr>
        <w:pStyle w:val="Normalny1"/>
        <w:spacing w:after="60" w:line="360" w:lineRule="auto"/>
        <w:jc w:val="center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Arial"/>
          <w:b/>
          <w:color w:val="auto"/>
          <w:sz w:val="21"/>
          <w:szCs w:val="21"/>
        </w:rPr>
        <w:t>WYKONAWCY BIORĄCY UDZIAŁ W POSTĘPOWANIU</w:t>
      </w:r>
    </w:p>
    <w:p w:rsidR="00B80E9E" w:rsidRDefault="00B80E9E">
      <w:pPr>
        <w:jc w:val="both"/>
        <w:rPr>
          <w:b/>
          <w:sz w:val="21"/>
          <w:szCs w:val="21"/>
        </w:rPr>
      </w:pPr>
    </w:p>
    <w:p w:rsidR="00B80E9E" w:rsidRDefault="00B80E9E">
      <w:pPr>
        <w:jc w:val="both"/>
        <w:rPr>
          <w:b/>
          <w:sz w:val="21"/>
          <w:szCs w:val="21"/>
        </w:rPr>
      </w:pPr>
    </w:p>
    <w:p w:rsidR="00B80E9E" w:rsidRDefault="00B80E9E">
      <w:pPr>
        <w:spacing w:line="276" w:lineRule="auto"/>
        <w:jc w:val="both"/>
        <w:rPr>
          <w:b/>
          <w:sz w:val="21"/>
          <w:szCs w:val="21"/>
        </w:rPr>
      </w:pPr>
    </w:p>
    <w:p w:rsidR="00B80E9E" w:rsidRDefault="00F9521E">
      <w:pPr>
        <w:spacing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Dotyczy:</w:t>
      </w:r>
      <w:r>
        <w:rPr>
          <w:sz w:val="21"/>
          <w:szCs w:val="21"/>
        </w:rPr>
        <w:t xml:space="preserve"> postępowania prowadzonego w trybie przetargu nieograniczonego na </w:t>
      </w:r>
      <w:r>
        <w:rPr>
          <w:rFonts w:cs="Calibri"/>
          <w:b/>
          <w:bCs/>
          <w:kern w:val="0"/>
          <w:sz w:val="21"/>
          <w:szCs w:val="21"/>
        </w:rPr>
        <w:t xml:space="preserve">dostawę i montaż kolektorów słonecznych, paneli fotowoltaicznych, pomp ciepła oraz </w:t>
      </w:r>
      <w:r>
        <w:rPr>
          <w:rFonts w:cs="Calibri"/>
          <w:b/>
          <w:bCs/>
          <w:kern w:val="0"/>
          <w:sz w:val="21"/>
          <w:szCs w:val="21"/>
        </w:rPr>
        <w:t>kotłów na biomasę na terenie Gminy Tryńcza i Gminy Raniżów</w:t>
      </w:r>
      <w:r>
        <w:rPr>
          <w:rFonts w:cs="Calibri"/>
          <w:kern w:val="0"/>
          <w:sz w:val="21"/>
          <w:szCs w:val="21"/>
        </w:rPr>
        <w:t xml:space="preserve"> </w:t>
      </w:r>
      <w:r>
        <w:rPr>
          <w:rFonts w:cs="Calibri"/>
          <w:b/>
          <w:bCs/>
          <w:kern w:val="0"/>
          <w:sz w:val="21"/>
          <w:szCs w:val="21"/>
        </w:rPr>
        <w:t>realizowaną w ramach projektu:</w:t>
      </w:r>
      <w:r>
        <w:rPr>
          <w:rFonts w:cs="Calibri"/>
          <w:kern w:val="0"/>
          <w:sz w:val="21"/>
          <w:szCs w:val="21"/>
        </w:rPr>
        <w:t xml:space="preserve"> </w:t>
      </w:r>
      <w:bookmarkStart w:id="2" w:name="__DdeLink__4941_3432330198"/>
      <w:bookmarkStart w:id="3" w:name="__DdeLink__41551_3289254707"/>
      <w:r>
        <w:rPr>
          <w:rFonts w:cs="Calibri"/>
          <w:b/>
          <w:bCs/>
          <w:kern w:val="0"/>
          <w:sz w:val="21"/>
          <w:szCs w:val="21"/>
        </w:rPr>
        <w:t>„Czysta energia w Gminie Tryńcza i Gminie Raniżów”</w:t>
      </w:r>
      <w:bookmarkEnd w:id="2"/>
      <w:r>
        <w:rPr>
          <w:rFonts w:cs="Calibri"/>
          <w:kern w:val="0"/>
          <w:sz w:val="21"/>
          <w:szCs w:val="21"/>
        </w:rPr>
        <w:t>. Zamówienie jest współfinansowa</w:t>
      </w:r>
      <w:r>
        <w:rPr>
          <w:rFonts w:cs="Calibri"/>
          <w:kern w:val="0"/>
          <w:sz w:val="21"/>
          <w:szCs w:val="21"/>
        </w:rPr>
        <w:softHyphen/>
        <w:t>ne</w:t>
      </w:r>
      <w:bookmarkEnd w:id="3"/>
      <w:r>
        <w:rPr>
          <w:rFonts w:cs="Calibri"/>
          <w:kern w:val="0"/>
          <w:sz w:val="21"/>
          <w:szCs w:val="21"/>
        </w:rPr>
        <w:t xml:space="preserve"> ze środków UE w ramach Regionalnego Programu Operacyjnego Województwa Podkarpack</w:t>
      </w:r>
      <w:r>
        <w:rPr>
          <w:rFonts w:cs="Calibri"/>
          <w:kern w:val="0"/>
          <w:sz w:val="21"/>
          <w:szCs w:val="21"/>
        </w:rPr>
        <w:t>iego na lata 2014-2020 w ramach Osi Priorytetowej  nr III „Czysta energia” Działanie 3.1 Rozwój OZE.</w:t>
      </w:r>
    </w:p>
    <w:p w:rsidR="00B80E9E" w:rsidRDefault="00B80E9E">
      <w:pPr>
        <w:spacing w:line="276" w:lineRule="auto"/>
        <w:jc w:val="both"/>
        <w:rPr>
          <w:sz w:val="21"/>
          <w:szCs w:val="21"/>
        </w:rPr>
      </w:pPr>
    </w:p>
    <w:p w:rsidR="00B80E9E" w:rsidRDefault="00F9521E">
      <w:pPr>
        <w:pStyle w:val="Normalny1"/>
        <w:spacing w:after="60" w:line="276" w:lineRule="auto"/>
        <w:jc w:val="both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Arial"/>
          <w:color w:val="auto"/>
          <w:kern w:val="0"/>
          <w:sz w:val="21"/>
          <w:szCs w:val="21"/>
        </w:rPr>
        <w:t>Na podstawie art. 38 ust. 2 ustawy z dnia 29 stycznia 2004 r. Prawo zamówień publicznych (j.t. Dz. U. z 2019 r. poz. 1843)</w:t>
      </w:r>
      <w:r>
        <w:rPr>
          <w:rFonts w:ascii="Calibri" w:hAnsi="Calibri" w:cs="Arial"/>
          <w:color w:val="auto"/>
          <w:sz w:val="21"/>
          <w:szCs w:val="21"/>
        </w:rPr>
        <w:t xml:space="preserve"> </w:t>
      </w:r>
      <w:r>
        <w:rPr>
          <w:rFonts w:ascii="Calibri" w:hAnsi="Calibri" w:cs="Arial"/>
          <w:b/>
          <w:color w:val="auto"/>
          <w:sz w:val="21"/>
          <w:szCs w:val="21"/>
        </w:rPr>
        <w:t>Zamawiający</w:t>
      </w:r>
      <w:r>
        <w:rPr>
          <w:rFonts w:ascii="Calibri" w:hAnsi="Calibri" w:cs="Arial"/>
          <w:color w:val="auto"/>
          <w:sz w:val="21"/>
          <w:szCs w:val="21"/>
        </w:rPr>
        <w:t xml:space="preserve"> </w:t>
      </w:r>
      <w:r>
        <w:rPr>
          <w:rFonts w:ascii="Calibri" w:hAnsi="Calibri" w:cs="Arial"/>
          <w:b/>
          <w:color w:val="auto"/>
          <w:sz w:val="21"/>
          <w:szCs w:val="21"/>
        </w:rPr>
        <w:t>przekazuje treść za</w:t>
      </w:r>
      <w:r>
        <w:rPr>
          <w:rFonts w:ascii="Calibri" w:hAnsi="Calibri" w:cs="Arial"/>
          <w:b/>
          <w:color w:val="auto"/>
          <w:sz w:val="21"/>
          <w:szCs w:val="21"/>
        </w:rPr>
        <w:t>pytań dotyczących Specyfikacji Istotnych Warunków Zamówienia</w:t>
      </w:r>
      <w:r>
        <w:rPr>
          <w:rFonts w:ascii="Calibri" w:hAnsi="Calibri" w:cs="Arial"/>
          <w:color w:val="auto"/>
          <w:sz w:val="21"/>
          <w:szCs w:val="21"/>
        </w:rPr>
        <w:t xml:space="preserve"> (SIWZ) </w:t>
      </w:r>
      <w:r>
        <w:rPr>
          <w:rFonts w:ascii="Calibri" w:hAnsi="Calibri" w:cs="Arial"/>
          <w:b/>
          <w:color w:val="auto"/>
          <w:sz w:val="21"/>
          <w:szCs w:val="21"/>
        </w:rPr>
        <w:t xml:space="preserve">wraz z udzielonymi odpowiedziami. </w:t>
      </w:r>
    </w:p>
    <w:p w:rsidR="00B80E9E" w:rsidRDefault="00B80E9E">
      <w:pPr>
        <w:pStyle w:val="Normalny1"/>
        <w:spacing w:before="170" w:after="170" w:line="276" w:lineRule="auto"/>
        <w:jc w:val="both"/>
        <w:rPr>
          <w:rFonts w:ascii="Calibri" w:hAnsi="Calibri"/>
          <w:b/>
          <w:bCs/>
          <w:color w:val="auto"/>
          <w:sz w:val="21"/>
          <w:szCs w:val="21"/>
        </w:rPr>
      </w:pPr>
    </w:p>
    <w:p w:rsidR="00B80E9E" w:rsidRDefault="00F9521E">
      <w:pPr>
        <w:widowControl w:val="0"/>
        <w:numPr>
          <w:ilvl w:val="0"/>
          <w:numId w:val="1"/>
        </w:numPr>
        <w:spacing w:after="62" w:line="276" w:lineRule="auto"/>
        <w:ind w:left="737" w:hanging="68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Zamawiający w Opisie Technicznym opisuje budowę urządzenia – kotła, wskazując na konkretne rozwiązanie konstrukcyjne, „Część wymiennika kotła w</w:t>
      </w:r>
      <w:r>
        <w:rPr>
          <w:sz w:val="21"/>
          <w:szCs w:val="21"/>
        </w:rPr>
        <w:t>ykonana jest w technologii płomieniówkowej. Trzeci ciąg spalin stanowią rury o średnicy 70 -80 mm i grubości  ścianki 5 mm w ilości nie mniej niż 6 sztuk dla kotłów o mocy 16, 24 kW Płomieniówkowa część grzewcza oddzielona jest od komory paleniskowej płask</w:t>
      </w:r>
      <w:r>
        <w:rPr>
          <w:sz w:val="21"/>
          <w:szCs w:val="21"/>
        </w:rPr>
        <w:t>ą przegrodą wodną, wykonaną z poprzecznie umieszczonych profili zamkniętych o przekroju 100 x 40 mm, z odstępem między nimi dla zawirowania spalin i zapewnienia lepszej  wymiany ciepła oraz  „palnik z rurą palnikową o przekroju ośmiokąta foremnego – podłog</w:t>
      </w:r>
      <w:r>
        <w:rPr>
          <w:sz w:val="21"/>
          <w:szCs w:val="21"/>
        </w:rPr>
        <w:t>a palnika w kształcie „V”, ze zgarniaczem szlaki uruchamianym cyklicznie z automatyki kotła, wyposażony w zróżnicowany system dysz powietrza – kurtyna typu OMEGA na końcu rury palnikowej (dopalanie gazów)” co jest sprzeczne z ustawą PzP oraz licznymi wyrok</w:t>
      </w:r>
      <w:r>
        <w:rPr>
          <w:sz w:val="21"/>
          <w:szCs w:val="21"/>
        </w:rPr>
        <w:t>ami KIO w tego typu sprawach. Zadajemy zatem pytanie: Czy zamawiający dopuszcza kotły na pellet, spełniające wymogi zadania, stalowe, trójciągowe kotły grzewcze wyposażone w palnik do automatycznego spalania pelletu, o budowie płomieniówkowej, z modulowany</w:t>
      </w:r>
      <w:r>
        <w:rPr>
          <w:sz w:val="21"/>
          <w:szCs w:val="21"/>
        </w:rPr>
        <w:t xml:space="preserve">m palnikiem pelletowym, posiadającym zgarniacz szlaki do skutecznego usuwania produktów powstałych w procesie spalania, wraz z niezbędnym osprzętem urządzenia, realizującym wymogi zadania o budowie innej niż wyspecyfikowana w opisie, których wysokość wraz </w:t>
      </w:r>
      <w:r>
        <w:rPr>
          <w:sz w:val="21"/>
          <w:szCs w:val="21"/>
        </w:rPr>
        <w:t>z przestrzenią serwisową nad kotłem nie przekracza max 1.75 m,? Przyjmuje się, że żadna z kotłowni nie będzie niższa niż 1.75m, z uwagi na niemożliwość wykonania modernizacji kotłowni w niższych kotłowniach."</w:t>
      </w:r>
    </w:p>
    <w:p w:rsidR="00B80E9E" w:rsidRDefault="00F9521E">
      <w:pPr>
        <w:widowControl w:val="0"/>
        <w:spacing w:after="227" w:line="276" w:lineRule="auto"/>
        <w:ind w:left="77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Odpowiedz:</w:t>
      </w:r>
      <w:r>
        <w:rPr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 xml:space="preserve">Tak, Zamawiający dopuszcza takie </w:t>
      </w:r>
      <w:r>
        <w:rPr>
          <w:rFonts w:cs="Liberation Serif"/>
          <w:sz w:val="21"/>
          <w:szCs w:val="21"/>
        </w:rPr>
        <w:t>urządzenia. Ponadto kotły powinny spełniać: 5 klasę wg PN-EN 303–5:2012 oraz być zgodne z dyrektywą ECODESIGN.</w:t>
      </w:r>
    </w:p>
    <w:p w:rsidR="00B80E9E" w:rsidRDefault="00F9521E">
      <w:pPr>
        <w:widowControl w:val="0"/>
        <w:numPr>
          <w:ilvl w:val="0"/>
          <w:numId w:val="1"/>
        </w:numPr>
        <w:spacing w:after="62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rFonts w:cs="Liberation Serif"/>
          <w:sz w:val="21"/>
          <w:szCs w:val="21"/>
        </w:rPr>
        <w:t>Wnosimy o dopuszczenie urządzeń, których szerokość nie przekracza 60 cm. Parametr Szerokości urządzenia podyktowany jest przede wszystki</w:t>
      </w:r>
      <w:r>
        <w:rPr>
          <w:rFonts w:cs="Liberation Serif"/>
          <w:sz w:val="21"/>
          <w:szCs w:val="21"/>
        </w:rPr>
        <w:t xml:space="preserve">m światłem drzwi oraz przejściami przez korytarz lub schody do kotłowni. Parametr maksymalnej szerokości urządzenia 50cm jest niepotrzebny, </w:t>
      </w:r>
      <w:r>
        <w:rPr>
          <w:rFonts w:cs="Liberation Serif"/>
          <w:sz w:val="21"/>
          <w:szCs w:val="21"/>
        </w:rPr>
        <w:lastRenderedPageBreak/>
        <w:t>gdyż żadne drzwi i prześwit nie będą mniejsze niż 60 cm, ponadto parametr ten eliminuje większość urządzeń dostępnyc</w:t>
      </w:r>
      <w:r>
        <w:rPr>
          <w:rFonts w:cs="Liberation Serif"/>
          <w:sz w:val="21"/>
          <w:szCs w:val="21"/>
        </w:rPr>
        <w:t>h na rynku kotłów grzewczych, wskazując jak przy opisie budowy urządzenia na jedno konkretne urządzenie określonego producenta. Czy Zamawiający dopuści takie urządzenia.</w:t>
      </w:r>
    </w:p>
    <w:p w:rsidR="00B80E9E" w:rsidRDefault="00F9521E">
      <w:pPr>
        <w:widowControl w:val="0"/>
        <w:spacing w:after="62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color w:val="000000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Tak, Zamawiający dopuszcza takie urządzenia.</w:t>
      </w:r>
    </w:p>
    <w:p w:rsidR="00B80E9E" w:rsidRDefault="00F9521E">
      <w:pPr>
        <w:widowControl w:val="0"/>
        <w:spacing w:before="227"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Pytania dotyczące części  VII</w:t>
      </w:r>
      <w:r>
        <w:rPr>
          <w:rFonts w:cs="Liberation Serif"/>
          <w:b/>
          <w:bCs/>
          <w:sz w:val="21"/>
          <w:szCs w:val="21"/>
        </w:rPr>
        <w:t xml:space="preserve"> i VIII: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rFonts w:cs="Liberation Serif"/>
          <w:sz w:val="21"/>
          <w:szCs w:val="21"/>
        </w:rPr>
        <w:t>W przypadku montowanych instalacji prosimy o potwierdzenie, że doprowadzenie podwójnego gniazda elektrycznego z uziemieniem zgodnego z obowiązującą normą w miejsce posadowienia kotła jest w gestii Beneficjenta.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 , Zamawiając</w:t>
      </w:r>
      <w:r>
        <w:rPr>
          <w:rFonts w:cs="Liberation Serif"/>
          <w:sz w:val="21"/>
          <w:szCs w:val="21"/>
        </w:rPr>
        <w:t>y potwierdza.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zakup modułu WLAN wchodzi w zakres obowiązków wykonawcy?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Tak , Zamawiający potwierdza.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Zamawiający w ramach przedmiotu zamówienia wymaga wykonania systemu monitorowania instalacji? Jeżeli tak proszę o potw</w:t>
      </w:r>
      <w:r>
        <w:rPr>
          <w:sz w:val="21"/>
          <w:szCs w:val="21"/>
        </w:rPr>
        <w:t>ierdzenie, że w gestii Beneficjenta jest zapewnienie stałego dostępu do internetu. Należy zwrócić uwagę na to, iż w pomieszczeniu kotłowni, piwnicy najczęściej sygnał internetu jest zbyt słaby, aby prawidłowo działał system - bardzo proszę o informację, co</w:t>
      </w:r>
      <w:r>
        <w:rPr>
          <w:sz w:val="21"/>
          <w:szCs w:val="21"/>
        </w:rPr>
        <w:t xml:space="preserve"> należy zrobić w sytuacji, gdy Beneficjent nie zapewni stałego łącza. </w:t>
      </w:r>
    </w:p>
    <w:p w:rsidR="00B80E9E" w:rsidRDefault="00F9521E">
      <w:pPr>
        <w:spacing w:after="227" w:line="276" w:lineRule="auto"/>
        <w:ind w:left="777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Odpowiedź: </w:t>
      </w:r>
      <w:r>
        <w:rPr>
          <w:sz w:val="21"/>
          <w:szCs w:val="21"/>
        </w:rPr>
        <w:t>W gestii użytkownika jest zapewnienie stałego dostępu Internetu w budynku, do Wykonawcy należy wzmocnienie tego sygnału przez odrębne urządzenia.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 xml:space="preserve"> Czy wykonawca musi</w:t>
      </w:r>
      <w:r>
        <w:rPr>
          <w:sz w:val="21"/>
          <w:szCs w:val="21"/>
        </w:rPr>
        <w:t xml:space="preserve"> założyć odrębny licznik ciepła, czy wystarczy sterownik, który pokazuje informację o ilości wytworzonego/zużytego ciepła?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Sam sterownik nie może poprawnie liczyć ilości ciepła do tego jest jeszcze wymagany przepływomierz i kpl. czujników.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Pytan</w:t>
      </w:r>
      <w:r>
        <w:rPr>
          <w:rFonts w:cs="Liberation Serif"/>
          <w:b/>
          <w:bCs/>
          <w:sz w:val="21"/>
          <w:szCs w:val="21"/>
        </w:rPr>
        <w:t xml:space="preserve">ie: </w:t>
      </w:r>
      <w:r>
        <w:rPr>
          <w:sz w:val="21"/>
          <w:szCs w:val="21"/>
        </w:rPr>
        <w:t>Czy dostawa i montaż termostatu pokojowego wchodzi w zakres obowiązków wykonawcy?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Tak, termostat powinien zapewniać nastawy temperatury w stopniach Celsjusza, możliwość programowania nastaw tygodniowych i dobowych.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Kto będzie ponosi</w:t>
      </w:r>
      <w:r>
        <w:rPr>
          <w:sz w:val="21"/>
          <w:szCs w:val="21"/>
        </w:rPr>
        <w:t>ł koszty nieuzasadnionego wezwania serwisu wykonawcy w trakcie trwania okresu gwarancji, w szczególności w przypadku wystąpienia awarii z winy użytkownika z powodu nieprzestrzegania warunków eksploatacji instalacji zg. z instrukcją obsługi systemu i/lub wa</w:t>
      </w:r>
      <w:r>
        <w:rPr>
          <w:sz w:val="21"/>
          <w:szCs w:val="21"/>
        </w:rPr>
        <w:t>runków kart gwarancyjnych poszczególnych zamontowanych urządzeń, czy to w sytuacji zadziałania siły wyższej np. przepięcia instalacji.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Odpowiedź: </w:t>
      </w:r>
      <w:r>
        <w:rPr>
          <w:rFonts w:cs="Calibri"/>
          <w:sz w:val="21"/>
          <w:szCs w:val="21"/>
        </w:rPr>
        <w:t>Warunki gwarancji oraz siły wyższej określa umowa i karta gwarancyjna, prosimy o dokładne zapoznanie się z zał</w:t>
      </w:r>
      <w:r>
        <w:rPr>
          <w:rFonts w:cs="Calibri"/>
          <w:sz w:val="21"/>
          <w:szCs w:val="21"/>
        </w:rPr>
        <w:t>ączoną dokumentacją do niniejszego Zamówienia. Zapisy SIWZ pozostają bez zmian.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Prosimy o informację, w jakim terminie Zamawiający przedstawi Wykonawcy nowy adres montażu instalacji w przypadku rezygnacji uczestnika Projektu?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w przypadku zmiany miejsca montażu instalacji terminy będą ustalane na bieżąco.</w:t>
      </w:r>
    </w:p>
    <w:p w:rsidR="00B80E9E" w:rsidRDefault="00F9521E">
      <w:pPr>
        <w:numPr>
          <w:ilvl w:val="0"/>
          <w:numId w:val="1"/>
        </w:numPr>
        <w:spacing w:after="227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lastRenderedPageBreak/>
        <w:t xml:space="preserve">Pytanie: </w:t>
      </w:r>
      <w:r>
        <w:rPr>
          <w:sz w:val="21"/>
          <w:szCs w:val="21"/>
        </w:rPr>
        <w:t>Po czyjej stronie (wykonawcy/użytkownika) leży dostosowanie komina do obowiązujących wymagań?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Po stronie Użytkownika leży dostosowanie komina do obowiązują</w:t>
      </w:r>
      <w:r>
        <w:rPr>
          <w:rFonts w:cs="Liberation Serif"/>
          <w:sz w:val="21"/>
          <w:szCs w:val="21"/>
        </w:rPr>
        <w:t>cych wymagań.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 ramach zamówienia do obowiązku wykonawcy wchodzi dostawa i montaż pompy do c.w.u., czy tylko wpięcie się w instalację c.o.?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Zgodnie z dokumentacją rysunkową i odpowiedzią na pytanie nr 100 z dnia 26.06.2020 r.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wymagane są przeglądy gwarancyjne w okresie trwania gwarancji? Jeśli tak to co jaki okres?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Tak, wymagane są przeglądy gwarancyjne. Terminy przeglądów gwarancyjnych zostały określone we wzorze umowy i wzorze karty gwarancyjnej.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Pytan</w:t>
      </w:r>
      <w:r>
        <w:rPr>
          <w:rFonts w:cs="Liberation Serif"/>
          <w:b/>
          <w:bCs/>
          <w:sz w:val="21"/>
          <w:szCs w:val="21"/>
        </w:rPr>
        <w:t xml:space="preserve">ie: </w:t>
      </w:r>
      <w:r>
        <w:rPr>
          <w:sz w:val="21"/>
          <w:szCs w:val="21"/>
        </w:rPr>
        <w:t>Czy w zakres prac wykonawcy wchodzi dostawa i montaż wkładu kominowego?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Nie,  zakres prac wykonawcy nie wchodzi dos</w:t>
      </w:r>
      <w:bookmarkStart w:id="4" w:name="_GoBack1"/>
      <w:bookmarkEnd w:id="4"/>
      <w:r>
        <w:rPr>
          <w:rFonts w:cs="Liberation Serif"/>
          <w:sz w:val="21"/>
          <w:szCs w:val="21"/>
        </w:rPr>
        <w:t>tawa i montaż wkładu kominowego.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 zakres prac wykonawcy wchodzi dostawa i montaż modułu komunikacji internetowej</w:t>
      </w:r>
      <w:r>
        <w:rPr>
          <w:sz w:val="21"/>
          <w:szCs w:val="21"/>
        </w:rPr>
        <w:t xml:space="preserve"> umożliwiającego zdalny dostęp do parametrów kotła, w tym informacji o ilości wytworzonego ciepła przez kocioł?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Tak,  w zakres prac wykonawcy wchodzi dostawa i montaż modułu komunikacji internetowej umożliwiającego zdalny dostęp do parametrów ko</w:t>
      </w:r>
      <w:r>
        <w:rPr>
          <w:rFonts w:cs="Liberation Serif"/>
          <w:sz w:val="21"/>
          <w:szCs w:val="21"/>
        </w:rPr>
        <w:t>tła, w tym informacji o ilości wytworzonego ciepła przez kocioł.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 zakres prac wykonawcy dot. instalacji kotła na biomasę wchodzi dostawa i montaż dwóch dodatkowych modułów sterujących zaworami mieszającymi?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Tak, w  w zakres prac wy</w:t>
      </w:r>
      <w:r>
        <w:rPr>
          <w:rFonts w:cs="Liberation Serif"/>
          <w:sz w:val="21"/>
          <w:szCs w:val="21"/>
        </w:rPr>
        <w:t>konawcy dot. instalacji kotła na biomasę wchodzi dostawa i montaż dwóch dodatkowych modułów sterujących zaworami mieszającymi.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 zakres prac wykonawcy wchodzi dostawa i montaż zabezpieczenia ciśnieniowego instalacji poprzez montaż naczynia prz</w:t>
      </w:r>
      <w:r>
        <w:rPr>
          <w:sz w:val="21"/>
          <w:szCs w:val="21"/>
        </w:rPr>
        <w:t>elewowego wraz z orurowaniem - w przypadku instalacji otwartych - i naczynia przeponowego wraz z zaworem bezpieczeństwa w przypadku instalacji zamkniętych?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Tak, w zakres prac wchodzi dostawa i montaż zabezpieczenia ciśnieniowego instalacji  popr</w:t>
      </w:r>
      <w:r>
        <w:rPr>
          <w:rFonts w:cs="Liberation Serif"/>
          <w:sz w:val="21"/>
          <w:szCs w:val="21"/>
        </w:rPr>
        <w:t>zez montaż naczynia przelewowego wraz z orurowaniem - w przypadku instalacji otwartych - i naczynia przeponowego wraz z zaworem bezpieczeństwa w przypadku instalacji zamkniętych.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Czy w przypadku montażu kotłów w układzie ciśnieniowym Zamawiający d</w:t>
      </w:r>
      <w:r>
        <w:rPr>
          <w:sz w:val="21"/>
          <w:szCs w:val="21"/>
        </w:rPr>
        <w:t>opuści równoważne do wężownicy schładzającej zabezpieczenie termiczne w postaci zaworu schładzającego DBV lub BVTS - zgodnie z obowiązującymi przepisami i normami 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Tak, Zamawiający dopuszcza.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>Po czyjej stronie (wykonawcy/użytkownika) l</w:t>
      </w:r>
      <w:r>
        <w:rPr>
          <w:sz w:val="21"/>
          <w:szCs w:val="21"/>
        </w:rPr>
        <w:t>eży wykonanie wentylacji nawiewnej oraz wywiewnej w pomieszczeniu przeznaczonym na montaż kotła?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Wykonanie wentylacji nawiewowej leży po stronie Użytkownika.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lastRenderedPageBreak/>
        <w:t xml:space="preserve">Pytanie: </w:t>
      </w:r>
      <w:r>
        <w:rPr>
          <w:sz w:val="21"/>
          <w:szCs w:val="21"/>
        </w:rPr>
        <w:t>Czy Zamawiający potwierdza, że dostosowanie pomieszczenia kotłowni dla potrzeb</w:t>
      </w:r>
      <w:r>
        <w:rPr>
          <w:sz w:val="21"/>
          <w:szCs w:val="21"/>
        </w:rPr>
        <w:t xml:space="preserve"> montażu kotła leży po stronie Beneficjenta/Właściciela budynku?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Zakres prac do wykonania w kotłowni leżący po stronie Wykonawcy został określony w dokumentacji technicznej.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sz w:val="21"/>
          <w:szCs w:val="21"/>
        </w:rPr>
        <w:t xml:space="preserve">Proszę o potwierdzenie, że podłączenie do instalacji c.w.u. </w:t>
      </w:r>
      <w:r>
        <w:rPr>
          <w:sz w:val="21"/>
          <w:szCs w:val="21"/>
        </w:rPr>
        <w:t>leży po stronie Wykonawcy natomiast dostarczenie wszelkich niezbędnych materiałów, w tym pompy c.w.u. leży po stronie Beneficjenta/Właściciela budynku?</w:t>
      </w:r>
    </w:p>
    <w:p w:rsidR="00B80E9E" w:rsidRDefault="00F9521E">
      <w:pPr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Odpowiedź:</w:t>
      </w:r>
      <w:r>
        <w:rPr>
          <w:rFonts w:cs="Liberation Serif"/>
          <w:sz w:val="21"/>
          <w:szCs w:val="21"/>
        </w:rPr>
        <w:t xml:space="preserve"> </w:t>
      </w:r>
      <w:r>
        <w:rPr>
          <w:rFonts w:cs="Liberation Serif"/>
          <w:sz w:val="21"/>
          <w:szCs w:val="21"/>
        </w:rPr>
        <w:t>Zamawiający nie potwierdza.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 xml:space="preserve">Pytanie: </w:t>
      </w:r>
      <w:r>
        <w:rPr>
          <w:rFonts w:cs="Liberation Serif"/>
          <w:sz w:val="21"/>
          <w:szCs w:val="21"/>
        </w:rPr>
        <w:t xml:space="preserve">Po czyjej stronie (wykonawcy/użytkownika) leży demontaż </w:t>
      </w:r>
      <w:r>
        <w:rPr>
          <w:rFonts w:cs="Liberation Serif"/>
          <w:sz w:val="21"/>
          <w:szCs w:val="21"/>
        </w:rPr>
        <w:t>i wyniesienie z pomieszczenia kotłowni kotła?</w:t>
      </w:r>
    </w:p>
    <w:p w:rsidR="00B80E9E" w:rsidRDefault="00F9521E">
      <w:pPr>
        <w:spacing w:after="60" w:line="276" w:lineRule="auto"/>
        <w:ind w:left="777"/>
        <w:jc w:val="both"/>
        <w:rPr>
          <w:sz w:val="21"/>
          <w:szCs w:val="21"/>
        </w:rPr>
      </w:pPr>
      <w:r>
        <w:rPr>
          <w:rStyle w:val="UMwyrniony"/>
          <w:rFonts w:eastAsia="ArialMT" w:cs="Liberation Serif"/>
          <w:bCs/>
          <w:spacing w:val="2"/>
          <w:sz w:val="21"/>
          <w:szCs w:val="21"/>
          <w:lang w:eastAsia="ar-SA" w:bidi="ar-SA"/>
        </w:rPr>
        <w:t>Odpowiedź:</w:t>
      </w:r>
      <w:r>
        <w:rPr>
          <w:rStyle w:val="UMwyrniony"/>
          <w:rFonts w:eastAsia="ArialMT" w:cs="Liberation Serif"/>
          <w:b w:val="0"/>
          <w:spacing w:val="2"/>
          <w:sz w:val="21"/>
          <w:szCs w:val="21"/>
          <w:lang w:eastAsia="ar-SA" w:bidi="ar-SA"/>
        </w:rPr>
        <w:t xml:space="preserve"> Demontaż i wyniesienie kotła należy do Wykonawcy (patrz pkt. 3.9.1. i 3.10.1. SIWZ).</w:t>
      </w:r>
    </w:p>
    <w:p w:rsidR="00B80E9E" w:rsidRDefault="00F9521E">
      <w:pPr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Style w:val="UMwyrniony"/>
          <w:rFonts w:eastAsia="ArialMT" w:cs="Liberation Serif"/>
          <w:bCs/>
          <w:spacing w:val="2"/>
          <w:sz w:val="21"/>
          <w:szCs w:val="21"/>
          <w:lang w:eastAsia="ar-SA" w:bidi="ar-SA"/>
        </w:rPr>
        <w:t xml:space="preserve">Pytanie: </w:t>
      </w:r>
      <w:r>
        <w:rPr>
          <w:rStyle w:val="UMwyrniony"/>
          <w:rFonts w:eastAsia="ArialMT" w:cs="Liberation Serif"/>
          <w:b w:val="0"/>
          <w:bCs/>
          <w:spacing w:val="2"/>
          <w:sz w:val="21"/>
          <w:szCs w:val="21"/>
          <w:lang w:eastAsia="ar-SA" w:bidi="ar-SA"/>
        </w:rPr>
        <w:t>Prosimy o dopuszczenie falowników jednofazowych o sprawności europejskiej minimum 96,5%. Wymóg obecny jes</w:t>
      </w:r>
      <w:r>
        <w:rPr>
          <w:rStyle w:val="UMwyrniony"/>
          <w:rFonts w:eastAsia="ArialMT" w:cs="Liberation Serif"/>
          <w:b w:val="0"/>
          <w:bCs/>
          <w:spacing w:val="2"/>
          <w:sz w:val="21"/>
          <w:szCs w:val="21"/>
          <w:lang w:eastAsia="ar-SA" w:bidi="ar-SA"/>
        </w:rPr>
        <w:t xml:space="preserve">t zawyżony i praktycznie wyklucza obecne falowniki 1-fazowe. </w:t>
      </w:r>
    </w:p>
    <w:p w:rsidR="00B80E9E" w:rsidRDefault="00F9521E">
      <w:pPr>
        <w:spacing w:after="60" w:line="276" w:lineRule="auto"/>
        <w:ind w:left="777"/>
        <w:jc w:val="both"/>
      </w:pPr>
      <w:r>
        <w:rPr>
          <w:rStyle w:val="UMwyrniony"/>
          <w:rFonts w:eastAsia="ArialMT" w:cs="Liberation Serif"/>
          <w:bCs/>
          <w:spacing w:val="2"/>
          <w:sz w:val="21"/>
          <w:szCs w:val="21"/>
          <w:lang w:eastAsia="ar-SA" w:bidi="ar-SA"/>
        </w:rPr>
        <w:t xml:space="preserve">Odpowiedź: </w:t>
      </w:r>
      <w:r>
        <w:rPr>
          <w:rStyle w:val="UMwyrniony"/>
          <w:rFonts w:eastAsia="ArialMT" w:cs="Liberation Serif"/>
          <w:b w:val="0"/>
          <w:spacing w:val="2"/>
          <w:sz w:val="21"/>
          <w:szCs w:val="21"/>
          <w:lang w:eastAsia="ar-SA" w:bidi="ar-SA"/>
        </w:rPr>
        <w:t>Zgodnie z odpowiedzią na pytanie nr 5, 123, 124,177, 178 z dnia 26.06.2020 r.</w:t>
      </w:r>
    </w:p>
    <w:p w:rsidR="00B80E9E" w:rsidRDefault="00B80E9E">
      <w:pPr>
        <w:spacing w:after="113"/>
        <w:jc w:val="both"/>
        <w:rPr>
          <w:sz w:val="21"/>
          <w:szCs w:val="21"/>
        </w:rPr>
      </w:pPr>
    </w:p>
    <w:p w:rsidR="00B80E9E" w:rsidRDefault="00B80E9E">
      <w:pPr>
        <w:overflowPunct w:val="0"/>
        <w:spacing w:before="113" w:after="57" w:line="276" w:lineRule="auto"/>
        <w:jc w:val="both"/>
        <w:rPr>
          <w:sz w:val="21"/>
          <w:szCs w:val="21"/>
        </w:rPr>
      </w:pPr>
    </w:p>
    <w:p w:rsidR="00B80E9E" w:rsidRDefault="00F9521E">
      <w:pPr>
        <w:pStyle w:val="Tekstpodstawowy"/>
        <w:spacing w:after="60"/>
        <w:jc w:val="both"/>
      </w:pPr>
      <w:r>
        <w:rPr>
          <w:rFonts w:eastAsia="ArialMT"/>
          <w:b/>
          <w:color w:val="000000"/>
          <w:sz w:val="21"/>
          <w:szCs w:val="21"/>
          <w:lang w:eastAsia="ar-SA"/>
        </w:rPr>
        <w:t xml:space="preserve">Działając na podstawie art. 12a ust. 2 pkt ustawy Prawo zamówień publicznych, Zamawiający przedłuża </w:t>
      </w:r>
      <w:r>
        <w:rPr>
          <w:rFonts w:eastAsia="ArialMT"/>
          <w:b/>
          <w:color w:val="000000"/>
          <w:sz w:val="21"/>
          <w:szCs w:val="21"/>
          <w:lang w:eastAsia="ar-SA"/>
        </w:rPr>
        <w:t xml:space="preserve">termin składania ofert o czas niezbędny na wprowadzenie zmian w ofertach. Termin składania ofert upływa dnia 16.07.2020 r. o godzinie 12.00. </w:t>
      </w:r>
    </w:p>
    <w:p w:rsidR="00B80E9E" w:rsidRDefault="00F9521E">
      <w:pPr>
        <w:pStyle w:val="Tekstpodstawowy"/>
        <w:spacing w:after="60"/>
        <w:jc w:val="both"/>
      </w:pPr>
      <w:r>
        <w:rPr>
          <w:color w:val="000000"/>
          <w:sz w:val="21"/>
          <w:szCs w:val="21"/>
          <w:u w:val="single"/>
        </w:rPr>
        <w:t>Modyfikacji ulegają zapisy Specyfikacji Istotnych Warunków Zamówienia</w:t>
      </w:r>
      <w:r>
        <w:rPr>
          <w:color w:val="000000"/>
          <w:sz w:val="21"/>
          <w:szCs w:val="21"/>
        </w:rPr>
        <w:t xml:space="preserve"> w pkt. 15.2. oraz pkt 15.4, które otrzymują brzmienie:</w:t>
      </w:r>
    </w:p>
    <w:p w:rsidR="00B80E9E" w:rsidRDefault="00F9521E">
      <w:pPr>
        <w:pStyle w:val="Tekstpodstawowy"/>
        <w:spacing w:after="60"/>
        <w:ind w:left="567" w:hanging="567"/>
        <w:jc w:val="both"/>
      </w:pPr>
      <w:r>
        <w:rPr>
          <w:color w:val="000000"/>
          <w:sz w:val="21"/>
          <w:szCs w:val="21"/>
        </w:rPr>
        <w:t xml:space="preserve">„15.2. Za ofertę złożoną w terminie Zamawiający uzna ofertę przekazaną </w:t>
      </w:r>
      <w:r>
        <w:rPr>
          <w:b/>
          <w:color w:val="000000"/>
          <w:sz w:val="21"/>
          <w:szCs w:val="21"/>
        </w:rPr>
        <w:t>d</w:t>
      </w:r>
      <w:r>
        <w:rPr>
          <w:b/>
          <w:bCs/>
          <w:color w:val="000000"/>
          <w:sz w:val="21"/>
          <w:szCs w:val="21"/>
        </w:rPr>
        <w:t>o dnia 16.07.2020 r</w:t>
      </w:r>
      <w:r>
        <w:rPr>
          <w:b/>
          <w:color w:val="000000"/>
          <w:sz w:val="21"/>
          <w:szCs w:val="21"/>
        </w:rPr>
        <w:t>. do godziny 12:00.</w:t>
      </w:r>
      <w:r>
        <w:rPr>
          <w:color w:val="000000"/>
          <w:sz w:val="21"/>
          <w:szCs w:val="21"/>
        </w:rPr>
        <w:t xml:space="preserve"> Za datę przekazania oferty przyjmuje się datę jej przekazania na ePUAP.</w:t>
      </w:r>
    </w:p>
    <w:p w:rsidR="00B80E9E" w:rsidRDefault="00F9521E">
      <w:pPr>
        <w:pStyle w:val="Tekstpodstawowy"/>
        <w:overflowPunct w:val="0"/>
        <w:spacing w:after="113"/>
        <w:ind w:left="567" w:hanging="567"/>
        <w:jc w:val="both"/>
      </w:pPr>
      <w:r>
        <w:rPr>
          <w:rFonts w:cs="Liberation Serif"/>
          <w:color w:val="000000"/>
          <w:sz w:val="21"/>
          <w:szCs w:val="21"/>
        </w:rPr>
        <w:t>15.4. Otwarcie of</w:t>
      </w:r>
      <w:r>
        <w:rPr>
          <w:rFonts w:cs="Liberation Serif"/>
          <w:color w:val="000000"/>
          <w:sz w:val="21"/>
          <w:szCs w:val="21"/>
        </w:rPr>
        <w:t>ert nastąpi w dniu</w:t>
      </w:r>
      <w:r>
        <w:rPr>
          <w:rFonts w:cs="Liberation Serif"/>
          <w:b/>
          <w:bCs/>
          <w:color w:val="000000"/>
          <w:sz w:val="21"/>
          <w:szCs w:val="21"/>
        </w:rPr>
        <w:t xml:space="preserve"> 16.07.2020 r. o godzinie 12.15 </w:t>
      </w:r>
      <w:r>
        <w:rPr>
          <w:rFonts w:cs="Liberation Serif"/>
          <w:color w:val="000000"/>
          <w:sz w:val="21"/>
          <w:szCs w:val="21"/>
        </w:rPr>
        <w:t>w siedzibie Zamawiającego: Urząd Gminy Tryńcza, 37-204 Tryńcza 127.”</w:t>
      </w:r>
    </w:p>
    <w:p w:rsidR="00B80E9E" w:rsidRDefault="00B80E9E">
      <w:pPr>
        <w:overflowPunct w:val="0"/>
        <w:spacing w:before="113" w:after="57" w:line="276" w:lineRule="auto"/>
        <w:jc w:val="both"/>
        <w:rPr>
          <w:sz w:val="21"/>
          <w:szCs w:val="21"/>
        </w:rPr>
      </w:pPr>
    </w:p>
    <w:p w:rsidR="00B80E9E" w:rsidRDefault="00B80E9E">
      <w:pPr>
        <w:overflowPunct w:val="0"/>
        <w:spacing w:before="113" w:after="57" w:line="276" w:lineRule="auto"/>
        <w:jc w:val="both"/>
        <w:rPr>
          <w:sz w:val="21"/>
          <w:szCs w:val="21"/>
        </w:rPr>
      </w:pPr>
    </w:p>
    <w:p w:rsidR="00B80E9E" w:rsidRDefault="00F9521E">
      <w:pPr>
        <w:overflowPunct w:val="0"/>
        <w:spacing w:before="113" w:after="57" w:line="276" w:lineRule="auto"/>
        <w:jc w:val="both"/>
        <w:rPr>
          <w:sz w:val="21"/>
          <w:szCs w:val="21"/>
        </w:rPr>
      </w:pPr>
      <w:r>
        <w:rPr>
          <w:rFonts w:cs="Liberation Serif"/>
          <w:b/>
          <w:bCs/>
          <w:sz w:val="21"/>
          <w:szCs w:val="21"/>
        </w:rPr>
        <w:t>Pozostałe zapisy Specyfikacji Istotnych Warunków Zamówienia pozostają bez zmian.</w:t>
      </w:r>
    </w:p>
    <w:p w:rsidR="00B80E9E" w:rsidRDefault="00B80E9E">
      <w:pPr>
        <w:pStyle w:val="Normalny1"/>
        <w:spacing w:after="60" w:line="276" w:lineRule="auto"/>
        <w:jc w:val="both"/>
        <w:rPr>
          <w:rFonts w:ascii="Calibri" w:hAnsi="Calibri"/>
          <w:color w:val="auto"/>
          <w:sz w:val="21"/>
          <w:szCs w:val="21"/>
        </w:rPr>
      </w:pPr>
    </w:p>
    <w:p w:rsidR="00B80E9E" w:rsidRDefault="00B80E9E">
      <w:pPr>
        <w:jc w:val="both"/>
        <w:rPr>
          <w:sz w:val="21"/>
          <w:szCs w:val="21"/>
        </w:rPr>
      </w:pPr>
    </w:p>
    <w:p w:rsidR="00B80E9E" w:rsidRDefault="00B80E9E">
      <w:pPr>
        <w:jc w:val="both"/>
        <w:rPr>
          <w:sz w:val="21"/>
          <w:szCs w:val="21"/>
        </w:rPr>
      </w:pPr>
    </w:p>
    <w:p w:rsidR="00B80E9E" w:rsidRDefault="00F9521E">
      <w:pPr>
        <w:pStyle w:val="DomylneA"/>
        <w:spacing w:after="0"/>
        <w:ind w:firstLine="4383"/>
        <w:jc w:val="center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Calibri"/>
          <w:i/>
          <w:iCs/>
          <w:color w:val="auto"/>
          <w:sz w:val="21"/>
          <w:szCs w:val="21"/>
        </w:rPr>
        <w:t>z up. Wójta Gminy Tryńcza</w:t>
      </w:r>
    </w:p>
    <w:p w:rsidR="00B80E9E" w:rsidRDefault="00F9521E">
      <w:pPr>
        <w:pStyle w:val="DomylneA"/>
        <w:spacing w:after="0"/>
        <w:ind w:firstLine="4383"/>
        <w:jc w:val="center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Calibri"/>
          <w:i/>
          <w:iCs/>
          <w:color w:val="auto"/>
          <w:sz w:val="21"/>
          <w:szCs w:val="21"/>
        </w:rPr>
        <w:t>(-)</w:t>
      </w:r>
    </w:p>
    <w:p w:rsidR="00B80E9E" w:rsidRDefault="00F9521E">
      <w:pPr>
        <w:pStyle w:val="DomylneA"/>
        <w:spacing w:after="0" w:line="276" w:lineRule="auto"/>
        <w:ind w:firstLine="4383"/>
        <w:jc w:val="center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 w:cs="Calibri"/>
          <w:i/>
          <w:iCs/>
          <w:color w:val="auto"/>
          <w:sz w:val="21"/>
          <w:szCs w:val="21"/>
        </w:rPr>
        <w:t>Tomasz Penkal</w:t>
      </w:r>
    </w:p>
    <w:sectPr w:rsidR="00B80E9E">
      <w:headerReference w:type="default" r:id="rId8"/>
      <w:footerReference w:type="default" r:id="rId9"/>
      <w:pgSz w:w="11906" w:h="16838"/>
      <w:pgMar w:top="1380" w:right="1134" w:bottom="1672" w:left="1134" w:header="480" w:footer="1223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1E" w:rsidRDefault="00F9521E">
      <w:r>
        <w:separator/>
      </w:r>
    </w:p>
  </w:endnote>
  <w:endnote w:type="continuationSeparator" w:id="0">
    <w:p w:rsidR="00F9521E" w:rsidRDefault="00F9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9E" w:rsidRDefault="00F9521E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8545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B80E9E" w:rsidRDefault="00B80E9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1E" w:rsidRDefault="00F9521E">
      <w:r>
        <w:separator/>
      </w:r>
    </w:p>
  </w:footnote>
  <w:footnote w:type="continuationSeparator" w:id="0">
    <w:p w:rsidR="00F9521E" w:rsidRDefault="00F95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9E" w:rsidRDefault="00F9521E">
    <w:pPr>
      <w:pStyle w:val="Nagwek"/>
    </w:pPr>
    <w:r>
      <w:rPr>
        <w:noProof/>
        <w:lang w:eastAsia="pl-PL" w:bidi="ar-SA"/>
      </w:rPr>
      <w:drawing>
        <wp:inline distT="0" distB="0" distL="0" distR="0">
          <wp:extent cx="5995670" cy="476250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5" t="-2117" r="-155" b="-2117"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E9E" w:rsidRDefault="00B80E9E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F01FD"/>
    <w:multiLevelType w:val="multilevel"/>
    <w:tmpl w:val="EE14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1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1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1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1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1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1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1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1"/>
        <w:szCs w:val="24"/>
      </w:rPr>
    </w:lvl>
  </w:abstractNum>
  <w:abstractNum w:abstractNumId="1" w15:restartNumberingAfterBreak="0">
    <w:nsid w:val="1A776F2F"/>
    <w:multiLevelType w:val="multilevel"/>
    <w:tmpl w:val="56321A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E"/>
    <w:rsid w:val="00285453"/>
    <w:rsid w:val="00B80E9E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DBB8C-5C03-41A2-8E25-C7F74E3C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Calibri" w:hAnsi="Calibri"/>
      <w:b/>
      <w:bCs/>
      <w:sz w:val="21"/>
      <w:szCs w:val="24"/>
    </w:rPr>
  </w:style>
  <w:style w:type="character" w:customStyle="1" w:styleId="pojedynczapozycja">
    <w:name w:val="pojedyncza_pozycja"/>
    <w:qFormat/>
  </w:style>
  <w:style w:type="character" w:customStyle="1" w:styleId="Wyrnienie">
    <w:name w:val="Wyróżnienie"/>
    <w:qFormat/>
    <w:rPr>
      <w:b/>
      <w:i w:val="0"/>
      <w:iCs/>
    </w:rPr>
  </w:style>
  <w:style w:type="character" w:customStyle="1" w:styleId="UMwyrniony">
    <w:name w:val="UM_wyróżniony"/>
    <w:basedOn w:val="Wyrnienie"/>
    <w:qFormat/>
    <w:rPr>
      <w:rFonts w:ascii="Arial" w:hAnsi="Arial"/>
      <w:b/>
      <w:i w:val="0"/>
      <w:iCs/>
      <w:spacing w:val="0"/>
      <w:w w:val="100"/>
    </w:rPr>
  </w:style>
  <w:style w:type="character" w:customStyle="1" w:styleId="WW-Domylnaczcionkaakapitu">
    <w:name w:val="WW-Domyślna czcionka akapitu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673B"/>
    <w:rPr>
      <w:rFonts w:ascii="Times New Roman" w:hAnsi="Times New Roman" w:cs="Mangal"/>
      <w:sz w:val="18"/>
      <w:szCs w:val="16"/>
    </w:rPr>
  </w:style>
  <w:style w:type="character" w:customStyle="1" w:styleId="WW8Num3z0">
    <w:name w:val="WW8Num3z0"/>
    <w:qFormat/>
    <w:rPr>
      <w:rFonts w:ascii="Calibri" w:eastAsia="Arial" w:hAnsi="Calibri" w:cs="Calibri"/>
      <w:b w:val="0"/>
      <w:bCs/>
    </w:rPr>
  </w:style>
  <w:style w:type="character" w:customStyle="1" w:styleId="WW8Num3z1">
    <w:name w:val="WW8Num3z1"/>
    <w:qFormat/>
    <w:rPr>
      <w:rFonts w:ascii="Calibri" w:eastAsia="Arial" w:hAnsi="Calibri" w:cs="Calibri"/>
      <w:b w:val="0"/>
      <w:bCs w:val="0"/>
      <w:iCs/>
      <w:color w:val="00000A"/>
      <w:kern w:val="0"/>
      <w:sz w:val="20"/>
      <w:szCs w:val="24"/>
      <w:highlight w:val="white"/>
      <w:lang w:val="pl-PL" w:eastAsia="zh-CN" w:bidi="hi-IN"/>
    </w:rPr>
  </w:style>
  <w:style w:type="character" w:customStyle="1" w:styleId="WW8Num3z2">
    <w:name w:val="WW8Num3z2"/>
    <w:qFormat/>
    <w:rPr>
      <w:rFonts w:ascii="Calibri" w:eastAsia="Arial" w:hAnsi="Calibri" w:cs="Calibri"/>
      <w:b w:val="0"/>
      <w:bCs w:val="0"/>
      <w:iCs/>
      <w:strike w:val="0"/>
      <w:dstrike w:val="0"/>
      <w:vanish w:val="0"/>
      <w:color w:val="00000A"/>
      <w:kern w:val="0"/>
      <w:sz w:val="20"/>
      <w:szCs w:val="23"/>
      <w:highlight w:val="white"/>
      <w:lang w:val="pl-PL" w:eastAsia="pl-PL" w:bidi="ar-SA"/>
    </w:rPr>
  </w:style>
  <w:style w:type="character" w:customStyle="1" w:styleId="WW8Num3z3">
    <w:name w:val="WW8Num3z3"/>
    <w:qFormat/>
    <w:rPr>
      <w:rFonts w:ascii="Calibri" w:eastAsia="ArialMT" w:hAnsi="Calibri" w:cs="Calibri"/>
      <w:bCs/>
      <w:iCs/>
      <w:color w:val="000000"/>
      <w:sz w:val="20"/>
      <w:szCs w:val="20"/>
      <w:lang w:eastAsia="ar-SA" w:bidi="ar-SA"/>
    </w:rPr>
  </w:style>
  <w:style w:type="character" w:customStyle="1" w:styleId="WW8Num3z4">
    <w:name w:val="WW8Num3z4"/>
    <w:qFormat/>
    <w:rPr>
      <w:rFonts w:ascii="Symbol" w:hAnsi="Symbol" w:cs="Symbol"/>
      <w:b w:val="0"/>
      <w:bCs w:val="0"/>
      <w:sz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95210"/>
    <w:rPr>
      <w:rFonts w:cs="Mangal"/>
      <w:b/>
      <w:bCs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ormalny1">
    <w:name w:val="Normalny1"/>
    <w:qFormat/>
    <w:pPr>
      <w:widowControl w:val="0"/>
      <w:spacing w:line="288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customStyle="1" w:styleId="DomylneA">
    <w:name w:val="Domyślne A"/>
    <w:qFormat/>
    <w:pPr>
      <w:tabs>
        <w:tab w:val="left" w:pos="220"/>
        <w:tab w:val="left" w:pos="72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sz w:val="24"/>
      <w:lang w:bidi="ar-SA"/>
    </w:rPr>
  </w:style>
  <w:style w:type="paragraph" w:styleId="Stopka">
    <w:name w:val="footer"/>
    <w:basedOn w:val="Gwkaistopka"/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673B"/>
    <w:rPr>
      <w:rFonts w:ascii="Times New Roman" w:hAnsi="Times New Roman" w:cs="Mangal"/>
      <w:sz w:val="18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 w:line="100" w:lineRule="atLeast"/>
    </w:pPr>
    <w:rPr>
      <w:b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95210"/>
    <w:rPr>
      <w:b/>
      <w:bCs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AC0B-1F98-4A58-98FD-C714C250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Widomski</dc:creator>
  <dc:description/>
  <cp:lastModifiedBy>Kasia1</cp:lastModifiedBy>
  <cp:revision>2</cp:revision>
  <dcterms:created xsi:type="dcterms:W3CDTF">2020-06-29T12:26:00Z</dcterms:created>
  <dcterms:modified xsi:type="dcterms:W3CDTF">2020-06-29T12:26:00Z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