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47" w:rsidRDefault="00E53057">
      <w:pPr>
        <w:pStyle w:val="Normalny1"/>
        <w:spacing w:after="60" w:line="360" w:lineRule="auto"/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995670" cy="476250"/>
            <wp:effectExtent l="0" t="0" r="0" b="0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5" t="-2117" r="-155" b="-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747" w:rsidRDefault="00E53057">
      <w:pPr>
        <w:pStyle w:val="Normalny1"/>
        <w:spacing w:after="60" w:line="360" w:lineRule="auto"/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Tryńcza, dnia </w:t>
      </w:r>
      <w:r>
        <w:rPr>
          <w:rFonts w:ascii="Calibri" w:hAnsi="Calibri" w:cs="Calibri"/>
          <w:color w:val="000000"/>
          <w:sz w:val="22"/>
          <w:szCs w:val="22"/>
        </w:rPr>
        <w:t>02.07</w:t>
      </w:r>
      <w:r>
        <w:rPr>
          <w:rFonts w:ascii="Calibri" w:hAnsi="Calibri" w:cs="Calibri"/>
          <w:color w:val="000000"/>
          <w:sz w:val="22"/>
          <w:szCs w:val="22"/>
        </w:rPr>
        <w:t>.2020 r.</w:t>
      </w:r>
    </w:p>
    <w:p w:rsidR="00CD4747" w:rsidRDefault="00E53057">
      <w:pPr>
        <w:pStyle w:val="Normalny1"/>
        <w:spacing w:after="60" w:line="360" w:lineRule="auto"/>
        <w:rPr>
          <w:color w:val="auto"/>
        </w:rPr>
      </w:pPr>
      <w:bookmarkStart w:id="1" w:name="__DdeLink__38690_3887344822"/>
      <w:r>
        <w:rPr>
          <w:rFonts w:ascii="Calibri" w:hAnsi="Calibri" w:cs="Calibri"/>
          <w:color w:val="000000"/>
          <w:sz w:val="22"/>
          <w:szCs w:val="22"/>
        </w:rPr>
        <w:t xml:space="preserve">ZNAK: </w:t>
      </w:r>
      <w:bookmarkEnd w:id="1"/>
      <w:r>
        <w:rPr>
          <w:rFonts w:ascii="Calibri" w:hAnsi="Calibri" w:cs="Calibri"/>
          <w:color w:val="000000"/>
          <w:sz w:val="22"/>
          <w:szCs w:val="22"/>
        </w:rPr>
        <w:t>UIB.271.10.2020</w:t>
      </w:r>
    </w:p>
    <w:p w:rsidR="00CD4747" w:rsidRDefault="00CD4747">
      <w:pPr>
        <w:jc w:val="both"/>
        <w:rPr>
          <w:b/>
          <w:color w:val="2D2D2D"/>
          <w:sz w:val="22"/>
        </w:rPr>
      </w:pPr>
    </w:p>
    <w:p w:rsidR="00CD4747" w:rsidRDefault="00CD4747">
      <w:pPr>
        <w:jc w:val="both"/>
        <w:rPr>
          <w:b/>
          <w:color w:val="2D2D2D"/>
          <w:sz w:val="22"/>
        </w:rPr>
      </w:pPr>
    </w:p>
    <w:p w:rsidR="00CD4747" w:rsidRDefault="00CD4747">
      <w:pPr>
        <w:jc w:val="both"/>
        <w:rPr>
          <w:b/>
          <w:color w:val="2D2D2D"/>
          <w:sz w:val="22"/>
        </w:rPr>
      </w:pPr>
    </w:p>
    <w:p w:rsidR="00CD4747" w:rsidRDefault="00E53057">
      <w:pPr>
        <w:pStyle w:val="Normalny1"/>
        <w:spacing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WYKONAWCY BIORĄCY UDZIAŁ W POSTĘPOWANIU</w:t>
      </w:r>
    </w:p>
    <w:p w:rsidR="00CD4747" w:rsidRDefault="00CD4747">
      <w:pPr>
        <w:jc w:val="both"/>
        <w:rPr>
          <w:b/>
          <w:color w:val="2D2D2D"/>
          <w:sz w:val="22"/>
        </w:rPr>
      </w:pPr>
    </w:p>
    <w:p w:rsidR="00CD4747" w:rsidRDefault="00CD4747">
      <w:pPr>
        <w:jc w:val="both"/>
        <w:rPr>
          <w:b/>
          <w:color w:val="2D2D2D"/>
          <w:sz w:val="22"/>
        </w:rPr>
      </w:pPr>
    </w:p>
    <w:p w:rsidR="00CD4747" w:rsidRDefault="00CD4747">
      <w:pPr>
        <w:spacing w:line="276" w:lineRule="auto"/>
        <w:jc w:val="both"/>
        <w:rPr>
          <w:b/>
          <w:color w:val="2D2D2D"/>
          <w:sz w:val="22"/>
          <w:szCs w:val="22"/>
        </w:rPr>
      </w:pPr>
    </w:p>
    <w:p w:rsidR="00CD4747" w:rsidRDefault="00E53057">
      <w:pPr>
        <w:spacing w:after="227" w:line="276" w:lineRule="auto"/>
        <w:jc w:val="both"/>
        <w:rPr>
          <w:szCs w:val="21"/>
        </w:rPr>
      </w:pPr>
      <w:r>
        <w:rPr>
          <w:b/>
          <w:color w:val="2D2D2D"/>
          <w:szCs w:val="21"/>
        </w:rPr>
        <w:t>Dotyczy:</w:t>
      </w:r>
      <w:r>
        <w:rPr>
          <w:color w:val="2D2D2D"/>
          <w:szCs w:val="21"/>
        </w:rPr>
        <w:t xml:space="preserve"> postępowania prowadzonego w trybie przetargu nieograniczonego na </w:t>
      </w:r>
      <w:r>
        <w:rPr>
          <w:rFonts w:cs="Calibri"/>
          <w:b/>
          <w:bCs/>
          <w:color w:val="2D2D2D"/>
          <w:kern w:val="0"/>
          <w:szCs w:val="21"/>
        </w:rPr>
        <w:t xml:space="preserve">dostawę i montaż kolektorów słonecznych, paneli fotowoltaicznych, pomp ciepła oraz </w:t>
      </w:r>
      <w:r>
        <w:rPr>
          <w:rFonts w:cs="Calibri"/>
          <w:b/>
          <w:bCs/>
          <w:color w:val="2D2D2D"/>
          <w:kern w:val="0"/>
          <w:szCs w:val="21"/>
        </w:rPr>
        <w:t>kotłów na biomasę na terenie Gminy Tryńcza i Gminy Raniżów</w:t>
      </w:r>
      <w:r>
        <w:rPr>
          <w:rFonts w:cs="Calibri"/>
          <w:color w:val="2D2D2D"/>
          <w:kern w:val="0"/>
          <w:szCs w:val="21"/>
        </w:rPr>
        <w:t xml:space="preserve"> </w:t>
      </w:r>
      <w:r>
        <w:rPr>
          <w:rFonts w:cs="Calibri"/>
          <w:b/>
          <w:bCs/>
          <w:color w:val="2D2D2D"/>
          <w:kern w:val="0"/>
          <w:szCs w:val="21"/>
        </w:rPr>
        <w:t>realizowaną w ramach projektu:</w:t>
      </w:r>
      <w:r>
        <w:rPr>
          <w:rFonts w:cs="Calibri"/>
          <w:color w:val="2D2D2D"/>
          <w:kern w:val="0"/>
          <w:szCs w:val="21"/>
        </w:rPr>
        <w:t xml:space="preserve"> </w:t>
      </w:r>
      <w:bookmarkStart w:id="2" w:name="__DdeLink__4941_3432330198"/>
      <w:bookmarkStart w:id="3" w:name="__DdeLink__41551_3289254707"/>
      <w:r>
        <w:rPr>
          <w:rFonts w:cs="Calibri"/>
          <w:b/>
          <w:bCs/>
          <w:color w:val="2D2D2D"/>
          <w:kern w:val="0"/>
          <w:szCs w:val="21"/>
        </w:rPr>
        <w:t>„</w:t>
      </w:r>
      <w:r>
        <w:rPr>
          <w:rFonts w:cs="Calibri"/>
          <w:b/>
          <w:bCs/>
          <w:color w:val="000000"/>
          <w:kern w:val="0"/>
          <w:szCs w:val="21"/>
        </w:rPr>
        <w:t>Czysta energia w Gminie Tryńcza i Gminie Raniżów</w:t>
      </w:r>
      <w:r>
        <w:rPr>
          <w:rFonts w:cs="Calibri"/>
          <w:b/>
          <w:bCs/>
          <w:color w:val="2D2D2D"/>
          <w:kern w:val="0"/>
          <w:szCs w:val="21"/>
        </w:rPr>
        <w:t>”</w:t>
      </w:r>
      <w:bookmarkEnd w:id="2"/>
      <w:r>
        <w:rPr>
          <w:rFonts w:cs="Calibri"/>
          <w:color w:val="2D2D2D"/>
          <w:kern w:val="0"/>
          <w:szCs w:val="21"/>
        </w:rPr>
        <w:t>. Zamówienie jest współfinansowa</w:t>
      </w:r>
      <w:r>
        <w:rPr>
          <w:rFonts w:cs="Calibri"/>
          <w:color w:val="2D2D2D"/>
          <w:kern w:val="0"/>
          <w:szCs w:val="21"/>
        </w:rPr>
        <w:softHyphen/>
        <w:t>ne</w:t>
      </w:r>
      <w:bookmarkEnd w:id="3"/>
      <w:r>
        <w:rPr>
          <w:rFonts w:cs="Calibri"/>
          <w:color w:val="2D2D2D"/>
          <w:kern w:val="0"/>
          <w:szCs w:val="21"/>
        </w:rPr>
        <w:t xml:space="preserve"> ze środków UE w ramach Regionalnego Programu Operacyjnego Województwa Podkarpack</w:t>
      </w:r>
      <w:r>
        <w:rPr>
          <w:rFonts w:cs="Calibri"/>
          <w:color w:val="2D2D2D"/>
          <w:kern w:val="0"/>
          <w:szCs w:val="21"/>
        </w:rPr>
        <w:t>iego na lata 2014-2020 w ramach Osi Priorytetowej  nr III „Czysta energia” Działanie 3.1 Rozwój OZE.</w:t>
      </w:r>
    </w:p>
    <w:p w:rsidR="00CD4747" w:rsidRDefault="00E53057">
      <w:pPr>
        <w:spacing w:line="276" w:lineRule="auto"/>
        <w:jc w:val="both"/>
        <w:rPr>
          <w:szCs w:val="21"/>
        </w:rPr>
      </w:pPr>
      <w:r>
        <w:rPr>
          <w:rFonts w:eastAsia="Times New Roman"/>
          <w:kern w:val="0"/>
          <w:szCs w:val="21"/>
          <w:lang w:eastAsia="pl-PL" w:bidi="ar-SA"/>
        </w:rPr>
        <w:t>Na podstawie art. 38 ust. 2 ustawy z dnia 29 stycznia 2004 r. Prawo zamówień publicznych (j.t. Dz. U. z 2019 r. poz. 1843 z poźn.zm)</w:t>
      </w:r>
      <w:r>
        <w:rPr>
          <w:rFonts w:eastAsia="Times New Roman"/>
          <w:szCs w:val="21"/>
          <w:lang w:eastAsia="pl-PL" w:bidi="ar-SA"/>
        </w:rPr>
        <w:t xml:space="preserve"> </w:t>
      </w:r>
      <w:r>
        <w:rPr>
          <w:rFonts w:eastAsia="Times New Roman"/>
          <w:b/>
          <w:bCs/>
          <w:szCs w:val="21"/>
          <w:lang w:eastAsia="pl-PL" w:bidi="ar-SA"/>
        </w:rPr>
        <w:t xml:space="preserve">Zamawiający przekazuje treść zapytania dotyczącą Specyfikacji Istotnych Warunków Zamówienia (SIWZ) wraz z udzieloną odpowiedzią. </w:t>
      </w:r>
    </w:p>
    <w:p w:rsidR="00CD4747" w:rsidRDefault="00CD4747">
      <w:pPr>
        <w:spacing w:line="276" w:lineRule="auto"/>
        <w:jc w:val="both"/>
        <w:rPr>
          <w:szCs w:val="21"/>
        </w:rPr>
      </w:pPr>
    </w:p>
    <w:p w:rsidR="00CD4747" w:rsidRDefault="00E53057">
      <w:pPr>
        <w:pStyle w:val="Tekstpodstawowy"/>
        <w:spacing w:after="113"/>
        <w:jc w:val="both"/>
        <w:rPr>
          <w:b/>
          <w:bCs/>
          <w:szCs w:val="21"/>
        </w:rPr>
      </w:pPr>
      <w:r>
        <w:rPr>
          <w:rFonts w:eastAsia="Times New Roman" w:cs="Calibri"/>
          <w:b/>
          <w:bCs/>
          <w:szCs w:val="21"/>
          <w:lang w:eastAsia="pl-PL" w:bidi="ar-SA"/>
        </w:rPr>
        <w:t xml:space="preserve">Pytanie: </w:t>
      </w:r>
      <w:r>
        <w:rPr>
          <w:rFonts w:eastAsia="Times New Roman" w:cs="Calibri"/>
          <w:szCs w:val="21"/>
          <w:lang w:eastAsia="pl-PL" w:bidi="ar-SA"/>
        </w:rPr>
        <w:t>Prosimy o potwierdzenie, że w zakresie sprawności europejskiej ważonej dla falowników (</w:t>
      </w:r>
      <w:proofErr w:type="spellStart"/>
      <w:r>
        <w:rPr>
          <w:rFonts w:eastAsia="Times New Roman" w:cs="Calibri"/>
          <w:szCs w:val="21"/>
          <w:lang w:eastAsia="pl-PL" w:bidi="ar-SA"/>
        </w:rPr>
        <w:t>ŋEU</w:t>
      </w:r>
      <w:proofErr w:type="spellEnd"/>
      <w:r>
        <w:rPr>
          <w:rFonts w:eastAsia="Times New Roman" w:cs="Calibri"/>
          <w:szCs w:val="21"/>
          <w:lang w:eastAsia="pl-PL" w:bidi="ar-SA"/>
        </w:rPr>
        <w:t>) stanowiącej jedno z kryt</w:t>
      </w:r>
      <w:r>
        <w:rPr>
          <w:rFonts w:eastAsia="Times New Roman" w:cs="Calibri"/>
          <w:szCs w:val="21"/>
          <w:lang w:eastAsia="pl-PL" w:bidi="ar-SA"/>
        </w:rPr>
        <w:t>erium oceny ofert Wykonawca powinien wpisać w formularzu ofertowym sprawność europejską ważoną, którą obliczył według wzoru: (przykład gm. Tryńcza):</w:t>
      </w:r>
    </w:p>
    <w:p w:rsidR="00CD4747" w:rsidRDefault="00E53057">
      <w:pPr>
        <w:ind w:left="72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7(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2kW) + 1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2,5 kW) + 201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3 kW) </w:t>
      </w:r>
    </w:p>
    <w:p w:rsidR="00CD4747" w:rsidRDefault="00E53057">
      <w:pPr>
        <w:pStyle w:val="Tekstpodstawowy"/>
        <w:spacing w:after="0" w:line="240" w:lineRule="auto"/>
        <w:ind w:left="340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  <w:u w:val="single"/>
        </w:rPr>
        <w:t>ŋ</w:t>
      </w:r>
      <w:r>
        <w:rPr>
          <w:rFonts w:cs="Calibri"/>
          <w:sz w:val="20"/>
          <w:szCs w:val="20"/>
        </w:rPr>
        <w:t>E</w:t>
      </w:r>
      <w:r>
        <w:rPr>
          <w:rFonts w:cs="Calibri"/>
          <w:sz w:val="20"/>
          <w:szCs w:val="20"/>
        </w:rPr>
        <w:t>U</w:t>
      </w:r>
      <w:proofErr w:type="spellEnd"/>
      <w:r>
        <w:rPr>
          <w:rFonts w:cs="Calibri"/>
          <w:sz w:val="20"/>
          <w:szCs w:val="20"/>
        </w:rPr>
        <w:t xml:space="preserve"> = ------------------------------------------------------------------------------------------------------------------------------------------- %</w:t>
      </w:r>
    </w:p>
    <w:p w:rsidR="00CD4747" w:rsidRDefault="00E53057">
      <w:pPr>
        <w:pStyle w:val="Tekstpodstawowy"/>
        <w:spacing w:after="0" w:line="240" w:lineRule="auto"/>
        <w:ind w:left="72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209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>)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Oznaczenia</w:t>
      </w:r>
      <w:r>
        <w:rPr>
          <w:rFonts w:cs="Calibri"/>
          <w:szCs w:val="21"/>
        </w:rPr>
        <w:t>: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- 7, 1, 201  - oznacza ilość instalacji fotowoltaicznych o mocach odpowiednio 2,16 kW, 2,7 kW oraz 3,24 kW;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 xml:space="preserve">- </w:t>
      </w:r>
      <w:proofErr w:type="spellStart"/>
      <w:r>
        <w:rPr>
          <w:rFonts w:cs="Calibri"/>
          <w:szCs w:val="21"/>
        </w:rPr>
        <w:t>ŋEU</w:t>
      </w:r>
      <w:proofErr w:type="spellEnd"/>
      <w:r>
        <w:rPr>
          <w:rFonts w:cs="Calibri"/>
          <w:szCs w:val="21"/>
        </w:rPr>
        <w:t xml:space="preserve">  - oznacza sprawność europejska falownika dobranego dla danej mocy instalacji;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eastAsia="Times New Roman" w:cs="Calibri"/>
          <w:szCs w:val="21"/>
          <w:lang w:eastAsia="pl-PL" w:bidi="ar-SA"/>
        </w:rPr>
        <w:t>- 209 – oznacza łączną ilość instalacji fotowoltaicznych.</w:t>
      </w:r>
    </w:p>
    <w:p w:rsidR="00CD4747" w:rsidRDefault="00CD4747">
      <w:pPr>
        <w:pStyle w:val="Tekstpodstawowy"/>
        <w:spacing w:after="113"/>
        <w:jc w:val="both"/>
        <w:rPr>
          <w:rFonts w:eastAsia="Times New Roman" w:cs="Calibri"/>
          <w:lang w:eastAsia="pl-PL" w:bidi="ar-SA"/>
        </w:rPr>
      </w:pPr>
    </w:p>
    <w:p w:rsidR="00CD4747" w:rsidRDefault="00E53057">
      <w:pPr>
        <w:pStyle w:val="Tekstpodstawowy"/>
        <w:spacing w:after="113"/>
        <w:jc w:val="both"/>
        <w:rPr>
          <w:b/>
          <w:bCs/>
          <w:szCs w:val="21"/>
        </w:rPr>
      </w:pPr>
      <w:r>
        <w:rPr>
          <w:rFonts w:eastAsia="Times New Roman" w:cs="Calibri"/>
          <w:b/>
          <w:bCs/>
          <w:szCs w:val="21"/>
          <w:lang w:eastAsia="pl-PL" w:bidi="ar-SA"/>
        </w:rPr>
        <w:t xml:space="preserve">Odpowiedź: </w:t>
      </w:r>
      <w:r>
        <w:rPr>
          <w:rFonts w:eastAsia="Times New Roman" w:cs="Calibri"/>
          <w:szCs w:val="21"/>
          <w:lang w:eastAsia="pl-PL" w:bidi="ar-SA"/>
        </w:rPr>
        <w:t>Zamawiający potwierdza, że europejską sprawność ważoną dla falowników (</w:t>
      </w:r>
      <w:proofErr w:type="spellStart"/>
      <w:r>
        <w:rPr>
          <w:rFonts w:eastAsia="Times New Roman" w:cs="Calibri"/>
          <w:szCs w:val="21"/>
          <w:lang w:eastAsia="pl-PL" w:bidi="ar-SA"/>
        </w:rPr>
        <w:t>ŋEU</w:t>
      </w:r>
      <w:proofErr w:type="spellEnd"/>
      <w:r>
        <w:rPr>
          <w:rFonts w:eastAsia="Times New Roman" w:cs="Calibri"/>
          <w:szCs w:val="21"/>
          <w:lang w:eastAsia="pl-PL" w:bidi="ar-SA"/>
        </w:rPr>
        <w:t>) należy wyliczyć, zgodnie z przedstawionym wzorem, a otrzymaną wartość wpisać w formularzu ofertowym.</w:t>
      </w:r>
    </w:p>
    <w:p w:rsidR="00CD4747" w:rsidRDefault="00CD4747">
      <w:pPr>
        <w:pStyle w:val="Tekstpodstawowy"/>
        <w:spacing w:after="113"/>
        <w:jc w:val="both"/>
        <w:rPr>
          <w:rFonts w:eastAsia="Times New Roman" w:cs="Calibri"/>
          <w:lang w:eastAsia="pl-PL" w:bidi="ar-SA"/>
        </w:rPr>
      </w:pP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szCs w:val="21"/>
        </w:rPr>
        <w:t>Zamawiający działając zgodnie z art. 38 ust. 4 ustawy z dnia 29.01.</w:t>
      </w:r>
      <w:r>
        <w:rPr>
          <w:szCs w:val="21"/>
        </w:rPr>
        <w:t>2004 r. Prawo zamówień publicznych</w:t>
      </w:r>
      <w:r>
        <w:rPr>
          <w:b/>
          <w:bCs/>
          <w:szCs w:val="21"/>
        </w:rPr>
        <w:t xml:space="preserve"> </w:t>
      </w:r>
      <w:r>
        <w:rPr>
          <w:szCs w:val="21"/>
        </w:rPr>
        <w:t xml:space="preserve">(j.t. Dz. U. z 2019 r. poz. 1843 z </w:t>
      </w:r>
      <w:proofErr w:type="spellStart"/>
      <w:r>
        <w:rPr>
          <w:szCs w:val="21"/>
        </w:rPr>
        <w:t>późn</w:t>
      </w:r>
      <w:proofErr w:type="spellEnd"/>
      <w:r>
        <w:rPr>
          <w:szCs w:val="21"/>
        </w:rPr>
        <w:t xml:space="preserve">. zm.) </w:t>
      </w:r>
      <w:r>
        <w:rPr>
          <w:b/>
          <w:bCs/>
          <w:szCs w:val="21"/>
        </w:rPr>
        <w:t xml:space="preserve">dokonuje </w:t>
      </w:r>
      <w:r>
        <w:rPr>
          <w:b/>
          <w:bCs/>
          <w:szCs w:val="21"/>
        </w:rPr>
        <w:t xml:space="preserve">zmiany SIWZ poprzez zmianę zapisów w pkt. 17.1.5. SIWZ tj. kryteriów oceny ofert dla części I </w:t>
      </w:r>
      <w:proofErr w:type="spellStart"/>
      <w:r>
        <w:rPr>
          <w:b/>
          <w:bCs/>
          <w:szCs w:val="21"/>
        </w:rPr>
        <w:t>i</w:t>
      </w:r>
      <w:proofErr w:type="spellEnd"/>
      <w:r>
        <w:rPr>
          <w:b/>
          <w:bCs/>
          <w:szCs w:val="21"/>
        </w:rPr>
        <w:t xml:space="preserve"> II w kryterium: sprawność inwertera – Europejska sprawność ważona </w:t>
      </w:r>
      <w:r>
        <w:rPr>
          <w:rFonts w:eastAsia="Times New Roman" w:cs="Calibri"/>
          <w:b/>
          <w:bCs/>
          <w:szCs w:val="21"/>
          <w:lang w:eastAsia="pl-PL" w:bidi="ar-SA"/>
        </w:rPr>
        <w:t>(</w:t>
      </w:r>
      <w:proofErr w:type="spellStart"/>
      <w:r>
        <w:rPr>
          <w:rFonts w:eastAsia="Times New Roman" w:cs="Calibri"/>
          <w:b/>
          <w:bCs/>
          <w:szCs w:val="21"/>
          <w:lang w:eastAsia="pl-PL" w:bidi="ar-SA"/>
        </w:rPr>
        <w:t>ŋEU</w:t>
      </w:r>
      <w:proofErr w:type="spellEnd"/>
      <w:r>
        <w:rPr>
          <w:rFonts w:eastAsia="Times New Roman" w:cs="Calibri"/>
          <w:b/>
          <w:bCs/>
          <w:szCs w:val="21"/>
          <w:lang w:eastAsia="pl-PL" w:bidi="ar-SA"/>
        </w:rPr>
        <w:t>) (SI) – 10%= 10 pkt.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eastAsia="Times New Roman" w:cs="Calibri"/>
          <w:szCs w:val="21"/>
          <w:lang w:eastAsia="pl-PL" w:bidi="ar-SA"/>
        </w:rPr>
        <w:t>Pkt 17.1.5. SIWZ otrzymuje brzmienie: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eastAsia="Times New Roman" w:cs="Calibri"/>
          <w:b/>
          <w:bCs/>
          <w:szCs w:val="21"/>
          <w:lang w:eastAsia="pl-PL" w:bidi="ar-SA"/>
        </w:rPr>
        <w:t xml:space="preserve">„17.1.5. </w:t>
      </w:r>
      <w:bookmarkStart w:id="4" w:name="__DdeLink__5648_15422959191121"/>
      <w:r>
        <w:rPr>
          <w:rFonts w:cs="Calibri"/>
          <w:b/>
          <w:bCs/>
          <w:szCs w:val="21"/>
        </w:rPr>
        <w:t>Sprawność inwertera – Europejska sprawność ważona</w:t>
      </w:r>
      <w:r>
        <w:rPr>
          <w:rFonts w:cs="Calibri"/>
          <w:b/>
          <w:bCs/>
          <w:szCs w:val="21"/>
        </w:rPr>
        <w:t xml:space="preserve"> (</w:t>
      </w:r>
      <w:proofErr w:type="spellStart"/>
      <w:r>
        <w:rPr>
          <w:rFonts w:cs="Calibri"/>
          <w:b/>
          <w:bCs/>
          <w:szCs w:val="21"/>
          <w:u w:val="single"/>
        </w:rPr>
        <w:t>ŋ</w:t>
      </w:r>
      <w:r>
        <w:rPr>
          <w:rFonts w:cs="Calibri"/>
          <w:b/>
          <w:bCs/>
          <w:szCs w:val="21"/>
        </w:rPr>
        <w:t>EU</w:t>
      </w:r>
      <w:proofErr w:type="spellEnd"/>
      <w:r>
        <w:rPr>
          <w:rFonts w:cs="Calibri"/>
          <w:b/>
          <w:bCs/>
          <w:szCs w:val="21"/>
        </w:rPr>
        <w:t>)</w:t>
      </w:r>
      <w:r>
        <w:rPr>
          <w:rFonts w:cs="Calibri"/>
          <w:b/>
          <w:bCs/>
          <w:szCs w:val="21"/>
        </w:rPr>
        <w:t xml:space="preserve">  (SI) - 10%=10 pkt</w:t>
      </w:r>
      <w:bookmarkEnd w:id="4"/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W powyższym kryterium oceniana będzie europejska sprawność ważona dla falowników zaoferowana przez Wykonawcę wyl</w:t>
      </w:r>
      <w:r>
        <w:rPr>
          <w:rFonts w:cs="Calibri"/>
          <w:szCs w:val="21"/>
        </w:rPr>
        <w:t>iczona według wzoru: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lastRenderedPageBreak/>
        <w:t xml:space="preserve">17.1.5.1. </w:t>
      </w:r>
      <w:r>
        <w:rPr>
          <w:rFonts w:cs="Calibri"/>
          <w:b/>
          <w:bCs/>
          <w:szCs w:val="21"/>
        </w:rPr>
        <w:t>dla części I:</w:t>
      </w:r>
    </w:p>
    <w:p w:rsidR="00CD4747" w:rsidRDefault="00E53057">
      <w:pPr>
        <w:pStyle w:val="Tekstpodstawowy"/>
        <w:spacing w:after="0" w:line="240" w:lineRule="auto"/>
        <w:ind w:left="72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  7(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2kW) + 1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2,5 kW) + 201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3 kW) </w:t>
      </w:r>
    </w:p>
    <w:p w:rsidR="00CD4747" w:rsidRDefault="00E53057">
      <w:pPr>
        <w:pStyle w:val="Tekstpodstawowy"/>
        <w:spacing w:after="0" w:line="240" w:lineRule="auto"/>
        <w:ind w:left="340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  <w:u w:val="single"/>
        </w:rPr>
        <w:t>ŋ</w:t>
      </w:r>
      <w:r>
        <w:rPr>
          <w:rFonts w:cs="Calibri"/>
          <w:sz w:val="20"/>
          <w:szCs w:val="20"/>
        </w:rPr>
        <w:t>EU</w:t>
      </w:r>
      <w:proofErr w:type="spellEnd"/>
      <w:r>
        <w:rPr>
          <w:rFonts w:cs="Calibri"/>
          <w:sz w:val="20"/>
          <w:szCs w:val="20"/>
        </w:rPr>
        <w:t xml:space="preserve"> = </w:t>
      </w:r>
      <w:r>
        <w:rPr>
          <w:rFonts w:cs="Calibri"/>
          <w:sz w:val="20"/>
          <w:szCs w:val="20"/>
        </w:rPr>
        <w:t>------------------------------------------------------------------------------------------------------------------------------------------- %</w:t>
      </w:r>
    </w:p>
    <w:p w:rsidR="00CD4747" w:rsidRDefault="00E53057">
      <w:pPr>
        <w:pStyle w:val="Tekstpodstawowy"/>
        <w:spacing w:after="0" w:line="240" w:lineRule="auto"/>
        <w:ind w:left="72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209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>)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Oznaczenia: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 xml:space="preserve">- </w:t>
      </w:r>
      <w:r>
        <w:rPr>
          <w:rFonts w:cs="Calibri"/>
          <w:szCs w:val="21"/>
        </w:rPr>
        <w:t>7, 1, 201  - oznacza ilość instalacji fotowoltaicznych o mocach odpowiednio 2,16 kW, 2,7 kW oraz 3,24 kW;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 xml:space="preserve">- </w:t>
      </w:r>
      <w:proofErr w:type="spellStart"/>
      <w:r>
        <w:rPr>
          <w:rFonts w:cs="Calibri"/>
          <w:szCs w:val="21"/>
        </w:rPr>
        <w:t>ŋEU</w:t>
      </w:r>
      <w:proofErr w:type="spellEnd"/>
      <w:r>
        <w:rPr>
          <w:rFonts w:cs="Calibri"/>
          <w:szCs w:val="21"/>
        </w:rPr>
        <w:t xml:space="preserve">  - oznacza sprawność europejską falownika dobranego dla danej mocy instalacji;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- 209 – oznacza łączną ilość instalacji fotowoltaicznych.</w:t>
      </w:r>
    </w:p>
    <w:p w:rsidR="00CD4747" w:rsidRDefault="00CD4747">
      <w:pPr>
        <w:pStyle w:val="SIWZ2"/>
        <w:spacing w:after="120" w:line="276" w:lineRule="auto"/>
        <w:jc w:val="both"/>
        <w:rPr>
          <w:rFonts w:cs="Calibri"/>
        </w:rPr>
      </w:pP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cs="Calibri"/>
          <w:szCs w:val="21"/>
        </w:rPr>
        <w:t>Wylicz</w:t>
      </w:r>
      <w:r>
        <w:rPr>
          <w:rFonts w:cs="Calibri"/>
          <w:szCs w:val="21"/>
        </w:rPr>
        <w:t>oną zgodnie z powyższym wzorem europejską sprawność ważoną należy wpisać w formularzu ofertowym.</w:t>
      </w:r>
    </w:p>
    <w:p w:rsidR="00CD4747" w:rsidRDefault="00CD4747">
      <w:pPr>
        <w:pStyle w:val="SIWZ2"/>
        <w:spacing w:after="120" w:line="276" w:lineRule="auto"/>
        <w:jc w:val="both"/>
        <w:rPr>
          <w:rFonts w:cs="Calibri"/>
        </w:rPr>
      </w:pP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cs="Calibri"/>
          <w:szCs w:val="21"/>
        </w:rPr>
        <w:t xml:space="preserve">17.1.5.2. </w:t>
      </w:r>
      <w:r>
        <w:rPr>
          <w:rFonts w:cs="Calibri"/>
          <w:b/>
          <w:bCs/>
          <w:szCs w:val="21"/>
        </w:rPr>
        <w:t>dla części II:</w:t>
      </w:r>
    </w:p>
    <w:p w:rsidR="00CD4747" w:rsidRDefault="00E53057">
      <w:pPr>
        <w:pStyle w:val="SIWZ2"/>
        <w:spacing w:after="0" w:line="240" w:lineRule="auto"/>
        <w:ind w:left="73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  18(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2kW) + 154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 xml:space="preserve">) x </w:t>
      </w:r>
      <w:proofErr w:type="spellStart"/>
      <w:r>
        <w:rPr>
          <w:rFonts w:cs="Calibri"/>
          <w:sz w:val="20"/>
          <w:szCs w:val="20"/>
        </w:rPr>
        <w:t>ŋEU</w:t>
      </w:r>
      <w:proofErr w:type="spellEnd"/>
      <w:r>
        <w:rPr>
          <w:rFonts w:cs="Calibri"/>
          <w:sz w:val="20"/>
          <w:szCs w:val="20"/>
        </w:rPr>
        <w:t xml:space="preserve"> (falownika 3 kW) </w:t>
      </w:r>
    </w:p>
    <w:p w:rsidR="00CD4747" w:rsidRDefault="00E53057">
      <w:pPr>
        <w:pStyle w:val="Tekstpodstawowy"/>
        <w:tabs>
          <w:tab w:val="left" w:pos="353"/>
        </w:tabs>
        <w:spacing w:after="0" w:line="240" w:lineRule="auto"/>
        <w:ind w:left="340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  <w:u w:val="single"/>
        </w:rPr>
        <w:t>ŋ</w:t>
      </w:r>
      <w:r>
        <w:rPr>
          <w:rFonts w:cs="Calibri"/>
          <w:sz w:val="20"/>
          <w:szCs w:val="20"/>
        </w:rPr>
        <w:t>EU</w:t>
      </w:r>
      <w:proofErr w:type="spellEnd"/>
      <w:r>
        <w:rPr>
          <w:rFonts w:cs="Calibri"/>
          <w:sz w:val="20"/>
          <w:szCs w:val="20"/>
        </w:rPr>
        <w:t xml:space="preserve"> = </w:t>
      </w:r>
      <w:r>
        <w:rPr>
          <w:rFonts w:cs="Calibri"/>
          <w:sz w:val="20"/>
          <w:szCs w:val="20"/>
        </w:rPr>
        <w:t>--------------------------------------------------------------------------------------------- %</w:t>
      </w:r>
    </w:p>
    <w:p w:rsidR="00CD4747" w:rsidRDefault="00E53057">
      <w:pPr>
        <w:pStyle w:val="Tekstpodstawowy"/>
        <w:spacing w:after="0" w:line="240" w:lineRule="auto"/>
        <w:ind w:left="720"/>
        <w:jc w:val="both"/>
        <w:rPr>
          <w:sz w:val="20"/>
          <w:szCs w:val="20"/>
        </w:rPr>
      </w:pPr>
      <w:r>
        <w:rPr>
          <w:rFonts w:cs="Calibri"/>
          <w:color w:val="0062C4"/>
          <w:sz w:val="20"/>
          <w:szCs w:val="20"/>
        </w:rPr>
        <w:t xml:space="preserve">            </w:t>
      </w:r>
      <w:r>
        <w:rPr>
          <w:rFonts w:cs="Calibri"/>
          <w:sz w:val="20"/>
          <w:szCs w:val="20"/>
        </w:rPr>
        <w:t xml:space="preserve">                                     172 (</w:t>
      </w:r>
      <w:proofErr w:type="spellStart"/>
      <w:r>
        <w:rPr>
          <w:rFonts w:cs="Calibri"/>
          <w:sz w:val="20"/>
          <w:szCs w:val="20"/>
        </w:rPr>
        <w:t>szt</w:t>
      </w:r>
      <w:proofErr w:type="spellEnd"/>
      <w:r>
        <w:rPr>
          <w:rFonts w:cs="Calibri"/>
          <w:sz w:val="20"/>
          <w:szCs w:val="20"/>
        </w:rPr>
        <w:t>)</w:t>
      </w:r>
    </w:p>
    <w:p w:rsidR="00CD4747" w:rsidRDefault="00CD4747">
      <w:pPr>
        <w:pStyle w:val="SIWZ2"/>
        <w:spacing w:after="120" w:line="276" w:lineRule="auto"/>
        <w:jc w:val="both"/>
        <w:rPr>
          <w:rFonts w:cs="Calibri"/>
        </w:rPr>
      </w:pP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Oznaczenia: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 xml:space="preserve">- 18, 154 - oznacza ilość instalacji fotowoltaicznych o mocach odpowiednio 2,16 kW oraz </w:t>
      </w:r>
      <w:r>
        <w:rPr>
          <w:rFonts w:cs="Calibri"/>
          <w:szCs w:val="21"/>
        </w:rPr>
        <w:t>3,24 kW;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 xml:space="preserve">- </w:t>
      </w:r>
      <w:proofErr w:type="spellStart"/>
      <w:r>
        <w:rPr>
          <w:rFonts w:cs="Calibri"/>
          <w:szCs w:val="21"/>
        </w:rPr>
        <w:t>ŋEU</w:t>
      </w:r>
      <w:proofErr w:type="spellEnd"/>
      <w:r>
        <w:rPr>
          <w:rFonts w:cs="Calibri"/>
          <w:szCs w:val="21"/>
        </w:rPr>
        <w:t xml:space="preserve">  - oznacza sprawność europejską falownika dobranego dla danej mocy instalacji;</w:t>
      </w:r>
    </w:p>
    <w:p w:rsidR="00CD4747" w:rsidRDefault="00E53057">
      <w:pPr>
        <w:pStyle w:val="Tekstpodstawowy"/>
        <w:spacing w:after="113"/>
        <w:jc w:val="both"/>
        <w:rPr>
          <w:szCs w:val="21"/>
        </w:rPr>
      </w:pPr>
      <w:r>
        <w:rPr>
          <w:rFonts w:cs="Calibri"/>
          <w:szCs w:val="21"/>
        </w:rPr>
        <w:t>- 172 – oznacza łączną ilość instalacji fotowoltaicznych.</w:t>
      </w:r>
    </w:p>
    <w:p w:rsidR="00CD4747" w:rsidRDefault="00CD4747">
      <w:pPr>
        <w:pStyle w:val="SIWZ2"/>
        <w:spacing w:after="120" w:line="276" w:lineRule="auto"/>
        <w:jc w:val="both"/>
        <w:rPr>
          <w:rFonts w:cs="Calibri"/>
        </w:rPr>
      </w:pP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cs="Calibri"/>
          <w:szCs w:val="21"/>
        </w:rPr>
        <w:t>Wyliczoną zgodnie z powyższym wzorem europejską sprawność ważoną należy wpisać w formularzu ofertowym.</w:t>
      </w:r>
    </w:p>
    <w:p w:rsidR="00CD4747" w:rsidRDefault="00CD4747">
      <w:pPr>
        <w:pStyle w:val="SIWZ2"/>
        <w:spacing w:after="120" w:line="276" w:lineRule="auto"/>
        <w:jc w:val="both"/>
        <w:rPr>
          <w:rFonts w:cs="Calibri"/>
          <w:b/>
          <w:bCs/>
        </w:rPr>
      </w:pP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cs="Calibri"/>
          <w:b/>
          <w:bCs/>
          <w:szCs w:val="21"/>
        </w:rPr>
        <w:t xml:space="preserve">17.1.5.3. </w:t>
      </w:r>
      <w:r>
        <w:rPr>
          <w:rFonts w:cs="Calibri"/>
          <w:szCs w:val="21"/>
        </w:rPr>
        <w:t xml:space="preserve">Punkty  dla części I </w:t>
      </w:r>
      <w:proofErr w:type="spellStart"/>
      <w:r>
        <w:rPr>
          <w:rFonts w:cs="Calibri"/>
          <w:szCs w:val="21"/>
        </w:rPr>
        <w:t>i</w:t>
      </w:r>
      <w:proofErr w:type="spellEnd"/>
      <w:r>
        <w:rPr>
          <w:rFonts w:cs="Calibri"/>
          <w:szCs w:val="21"/>
        </w:rPr>
        <w:t xml:space="preserve"> II </w:t>
      </w:r>
      <w:r>
        <w:rPr>
          <w:rFonts w:cs="Calibri"/>
          <w:szCs w:val="21"/>
        </w:rPr>
        <w:t>za kryterium „Sprawność inwertera – Europejska sprawność ważona (</w:t>
      </w:r>
      <w:proofErr w:type="spellStart"/>
      <w:r>
        <w:rPr>
          <w:rFonts w:cs="Calibri"/>
          <w:szCs w:val="21"/>
        </w:rPr>
        <w:t>nEU</w:t>
      </w:r>
      <w:proofErr w:type="spellEnd"/>
      <w:r>
        <w:rPr>
          <w:rFonts w:cs="Calibri"/>
          <w:szCs w:val="21"/>
        </w:rPr>
        <w:t xml:space="preserve">) - SI” </w:t>
      </w:r>
      <w:r>
        <w:rPr>
          <w:rFonts w:cs="Calibri"/>
          <w:bCs/>
          <w:szCs w:val="21"/>
        </w:rPr>
        <w:t>będą przyznawane zgodnie z tabelą:</w:t>
      </w:r>
    </w:p>
    <w:p w:rsidR="00CD4747" w:rsidRDefault="00CD4747">
      <w:pPr>
        <w:pStyle w:val="SIWZ2"/>
        <w:spacing w:after="120" w:line="276" w:lineRule="auto"/>
        <w:jc w:val="both"/>
        <w:rPr>
          <w:szCs w:val="21"/>
        </w:rPr>
      </w:pPr>
    </w:p>
    <w:tbl>
      <w:tblPr>
        <w:tblW w:w="5140" w:type="dxa"/>
        <w:tblInd w:w="167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11"/>
        <w:gridCol w:w="1273"/>
        <w:gridCol w:w="1956"/>
      </w:tblGrid>
      <w:tr w:rsidR="00CD4747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jednostka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punkty</w:t>
            </w:r>
          </w:p>
        </w:tc>
      </w:tr>
      <w:tr w:rsidR="00CD4747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Do 96,4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0</w:t>
            </w:r>
          </w:p>
        </w:tc>
      </w:tr>
      <w:tr w:rsidR="00CD4747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96,5– 96,8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5</w:t>
            </w:r>
          </w:p>
        </w:tc>
      </w:tr>
      <w:tr w:rsidR="00CD4747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96,9 i więcej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747" w:rsidRDefault="00E53057">
            <w:pPr>
              <w:jc w:val="center"/>
            </w:pPr>
            <w:r>
              <w:rPr>
                <w:rFonts w:cs="Calibri"/>
                <w:szCs w:val="21"/>
              </w:rPr>
              <w:t>10</w:t>
            </w:r>
          </w:p>
        </w:tc>
      </w:tr>
    </w:tbl>
    <w:p w:rsidR="00CD4747" w:rsidRDefault="00CD4747">
      <w:pPr>
        <w:tabs>
          <w:tab w:val="left" w:pos="13"/>
        </w:tabs>
        <w:spacing w:after="113" w:line="276" w:lineRule="auto"/>
        <w:ind w:left="720"/>
        <w:jc w:val="both"/>
        <w:rPr>
          <w:szCs w:val="21"/>
        </w:rPr>
      </w:pPr>
    </w:p>
    <w:p w:rsidR="00CD4747" w:rsidRDefault="00CD4747">
      <w:pPr>
        <w:pStyle w:val="Tekstpodstawowy"/>
        <w:spacing w:after="113"/>
        <w:jc w:val="both"/>
        <w:rPr>
          <w:rFonts w:cs="Calibri"/>
        </w:rPr>
      </w:pPr>
    </w:p>
    <w:p w:rsidR="00CD4747" w:rsidRDefault="00E53057">
      <w:pPr>
        <w:pStyle w:val="SIWZ2"/>
        <w:spacing w:after="120" w:line="276" w:lineRule="auto"/>
        <w:rPr>
          <w:szCs w:val="21"/>
        </w:rPr>
      </w:pPr>
      <w:bookmarkStart w:id="5" w:name="__DdeLink__30770_554095731121"/>
      <w:r>
        <w:rPr>
          <w:rFonts w:cs="Calibri"/>
          <w:b/>
          <w:bCs/>
          <w:color w:val="0062C4"/>
          <w:szCs w:val="21"/>
          <w:u w:val="single"/>
        </w:rPr>
        <w:t xml:space="preserve">Za najkorzystniejszą ofertę w </w:t>
      </w:r>
      <w:r>
        <w:rPr>
          <w:rFonts w:cs="Calibri"/>
          <w:b/>
          <w:bCs/>
          <w:color w:val="0062C4"/>
          <w:szCs w:val="21"/>
          <w:u w:val="single"/>
        </w:rPr>
        <w:t>I części zamówienia</w:t>
      </w:r>
      <w:r>
        <w:rPr>
          <w:rFonts w:cs="Calibri"/>
          <w:b/>
          <w:bCs/>
          <w:szCs w:val="21"/>
        </w:rPr>
        <w:t xml:space="preserve"> </w:t>
      </w:r>
      <w:r>
        <w:rPr>
          <w:rFonts w:cs="Calibri"/>
          <w:szCs w:val="21"/>
        </w:rPr>
        <w:t>zostanie uznana oferta, która otrzyma największą ilość punktów obliczoną na podstawie wzoru:</w:t>
      </w:r>
      <w:bookmarkEnd w:id="5"/>
    </w:p>
    <w:p w:rsidR="00CD4747" w:rsidRDefault="00E53057">
      <w:pPr>
        <w:pStyle w:val="SIWZ2"/>
        <w:spacing w:after="120" w:line="276" w:lineRule="auto"/>
        <w:rPr>
          <w:rFonts w:cs="Calibri"/>
          <w:szCs w:val="21"/>
        </w:rPr>
      </w:pPr>
      <w:r>
        <w:rPr>
          <w:rFonts w:cs="Calibri"/>
          <w:szCs w:val="21"/>
        </w:rPr>
        <w:t>Przyznana ilość punktów = C + LS + MZ + SM +SI</w:t>
      </w:r>
    </w:p>
    <w:p w:rsidR="00CD4747" w:rsidRDefault="00E53057">
      <w:pPr>
        <w:pStyle w:val="SIWZ2"/>
        <w:spacing w:after="120" w:line="276" w:lineRule="auto"/>
        <w:rPr>
          <w:rFonts w:cs="Calibri"/>
          <w:szCs w:val="21"/>
        </w:rPr>
      </w:pPr>
      <w:r>
        <w:rPr>
          <w:rFonts w:cs="Calibri"/>
          <w:szCs w:val="21"/>
        </w:rPr>
        <w:t>Łączna ilość punktów otrzymanych przez Wykonawcę będzie sumą punktów przyzna</w:t>
      </w:r>
      <w:r>
        <w:rPr>
          <w:rFonts w:cs="Calibri"/>
          <w:szCs w:val="21"/>
        </w:rPr>
        <w:softHyphen/>
        <w:t>nych w poszczególny</w:t>
      </w:r>
      <w:r>
        <w:rPr>
          <w:rFonts w:cs="Calibri"/>
          <w:szCs w:val="21"/>
        </w:rPr>
        <w:t>ch kryteriach – maksymalnie 100 punktów.</w:t>
      </w:r>
    </w:p>
    <w:p w:rsidR="00CD4747" w:rsidRDefault="00E53057">
      <w:pPr>
        <w:pStyle w:val="SIWZ2"/>
        <w:spacing w:after="120" w:line="276" w:lineRule="auto"/>
        <w:jc w:val="both"/>
        <w:rPr>
          <w:rFonts w:cs="Calibri"/>
          <w:szCs w:val="21"/>
        </w:rPr>
      </w:pPr>
      <w:r>
        <w:rPr>
          <w:rFonts w:cs="Calibri"/>
          <w:szCs w:val="21"/>
        </w:rPr>
        <w:t>Zamawiający przyzna zamówienie Wykonawcy, którego oferta uzyska największą licz</w:t>
      </w:r>
      <w:r>
        <w:rPr>
          <w:rFonts w:cs="Calibri"/>
          <w:szCs w:val="21"/>
        </w:rPr>
        <w:softHyphen/>
        <w:t>bę punk</w:t>
      </w:r>
      <w:r>
        <w:rPr>
          <w:rFonts w:cs="Calibri"/>
          <w:szCs w:val="21"/>
        </w:rPr>
        <w:softHyphen/>
        <w:t>tów.</w:t>
      </w: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cs="Calibri"/>
          <w:b/>
          <w:bCs/>
          <w:color w:val="0062C4"/>
          <w:szCs w:val="21"/>
          <w:u w:val="single"/>
        </w:rPr>
        <w:t>Za najkorzystniejszą ofertę w II części zamówienia</w:t>
      </w:r>
      <w:r>
        <w:rPr>
          <w:rFonts w:cs="Calibri"/>
          <w:szCs w:val="21"/>
        </w:rPr>
        <w:t xml:space="preserve"> zostanie uznana oferta, która otrzyma największą ilość punktów obliczon</w:t>
      </w:r>
      <w:r>
        <w:rPr>
          <w:rFonts w:cs="Calibri"/>
          <w:szCs w:val="21"/>
        </w:rPr>
        <w:t>ą na podstawie wzoru:</w:t>
      </w:r>
    </w:p>
    <w:p w:rsidR="00CD4747" w:rsidRDefault="00E53057">
      <w:pPr>
        <w:pStyle w:val="SIWZ2"/>
        <w:spacing w:after="120" w:line="276" w:lineRule="auto"/>
        <w:rPr>
          <w:rFonts w:cs="Calibri"/>
          <w:szCs w:val="21"/>
        </w:rPr>
      </w:pPr>
      <w:r>
        <w:rPr>
          <w:rFonts w:cs="Calibri"/>
          <w:szCs w:val="21"/>
        </w:rPr>
        <w:lastRenderedPageBreak/>
        <w:t>Przyznana ilość punktów = C + LS + MZ + SM +SI</w:t>
      </w:r>
    </w:p>
    <w:p w:rsidR="00CD4747" w:rsidRDefault="00E53057">
      <w:pPr>
        <w:pStyle w:val="SIWZ2"/>
        <w:spacing w:after="120" w:line="276" w:lineRule="auto"/>
        <w:rPr>
          <w:rFonts w:cs="Calibri"/>
          <w:szCs w:val="21"/>
        </w:rPr>
      </w:pPr>
      <w:r>
        <w:rPr>
          <w:rFonts w:cs="Calibri"/>
          <w:szCs w:val="21"/>
        </w:rPr>
        <w:t>Łączna ilość punktów otrzymanych przez Wykonawcę będzie sumą punktów przyzna</w:t>
      </w:r>
      <w:r>
        <w:rPr>
          <w:rFonts w:cs="Calibri"/>
          <w:szCs w:val="21"/>
        </w:rPr>
        <w:softHyphen/>
        <w:t>nych w poszczególnych kryteriach – maksymalnie 100 punktów.</w:t>
      </w:r>
    </w:p>
    <w:p w:rsidR="00CD4747" w:rsidRDefault="00E53057">
      <w:pPr>
        <w:pStyle w:val="SIWZ2"/>
        <w:spacing w:after="120" w:line="276" w:lineRule="auto"/>
        <w:jc w:val="both"/>
        <w:rPr>
          <w:szCs w:val="21"/>
        </w:rPr>
      </w:pPr>
      <w:r>
        <w:rPr>
          <w:rFonts w:eastAsia="Times New Roman" w:cs="Calibri"/>
          <w:szCs w:val="21"/>
          <w:lang w:eastAsia="pl-PL" w:bidi="ar-SA"/>
        </w:rPr>
        <w:t xml:space="preserve">Zamawiający przyzna zamówienie Wykonawcy, którego </w:t>
      </w:r>
      <w:r>
        <w:rPr>
          <w:rFonts w:eastAsia="Times New Roman" w:cs="Calibri"/>
          <w:szCs w:val="21"/>
          <w:lang w:eastAsia="pl-PL" w:bidi="ar-SA"/>
        </w:rPr>
        <w:t>oferta uzyska największą licz</w:t>
      </w:r>
      <w:r>
        <w:rPr>
          <w:rFonts w:eastAsia="Times New Roman" w:cs="Calibri"/>
          <w:szCs w:val="21"/>
          <w:lang w:eastAsia="pl-PL" w:bidi="ar-SA"/>
        </w:rPr>
        <w:softHyphen/>
        <w:t>bę punk</w:t>
      </w:r>
      <w:r>
        <w:rPr>
          <w:rFonts w:eastAsia="Times New Roman" w:cs="Calibri"/>
          <w:szCs w:val="21"/>
          <w:lang w:eastAsia="pl-PL" w:bidi="ar-SA"/>
        </w:rPr>
        <w:softHyphen/>
        <w:t>tów.”</w:t>
      </w:r>
    </w:p>
    <w:p w:rsidR="00CD4747" w:rsidRDefault="00CD4747">
      <w:pPr>
        <w:pStyle w:val="Tekstpodstawowy"/>
        <w:spacing w:after="60"/>
        <w:jc w:val="both"/>
      </w:pPr>
    </w:p>
    <w:p w:rsidR="00CD4747" w:rsidRDefault="00E53057">
      <w:pPr>
        <w:pStyle w:val="Tekstpodstawowy"/>
        <w:spacing w:after="60"/>
        <w:jc w:val="both"/>
      </w:pPr>
      <w:r>
        <w:rPr>
          <w:rFonts w:eastAsia="ArialMT"/>
          <w:color w:val="000000"/>
          <w:szCs w:val="21"/>
          <w:lang w:eastAsia="ar-SA"/>
        </w:rPr>
        <w:t>Działając na podstawie art. 12a ust. 2 pkt ustawy Prawo zamówień publicznych, Zamawiający przedłuża termin składania ofert o czas niezbędny na wprowadzenie zmian w ofertach.</w:t>
      </w:r>
      <w:r>
        <w:rPr>
          <w:rFonts w:eastAsia="ArialMT"/>
          <w:b/>
          <w:color w:val="000000"/>
          <w:szCs w:val="21"/>
          <w:lang w:eastAsia="ar-SA"/>
        </w:rPr>
        <w:t xml:space="preserve"> Termin składania ofert upływa dnia 20</w:t>
      </w:r>
      <w:r>
        <w:rPr>
          <w:rFonts w:eastAsia="ArialMT"/>
          <w:b/>
          <w:color w:val="000000"/>
          <w:szCs w:val="21"/>
          <w:lang w:eastAsia="ar-SA"/>
        </w:rPr>
        <w:t xml:space="preserve">.07.2020 r. o godzinie 12.00. </w:t>
      </w:r>
    </w:p>
    <w:p w:rsidR="00CD4747" w:rsidRDefault="00E53057">
      <w:pPr>
        <w:pStyle w:val="Tekstpodstawowy"/>
        <w:spacing w:after="60"/>
        <w:jc w:val="both"/>
      </w:pPr>
      <w:r>
        <w:rPr>
          <w:color w:val="000000"/>
          <w:szCs w:val="21"/>
          <w:u w:val="single"/>
        </w:rPr>
        <w:t>Modyfikacji ulegają zapisy Specyfikacji Istotnych Warunków Zamówienia</w:t>
      </w:r>
      <w:r>
        <w:rPr>
          <w:color w:val="000000"/>
          <w:szCs w:val="21"/>
        </w:rPr>
        <w:t xml:space="preserve"> w pkt. 15.2. oraz pkt 15.4, które otrzymują brzmienie:</w:t>
      </w:r>
    </w:p>
    <w:p w:rsidR="00CD4747" w:rsidRDefault="00E53057">
      <w:pPr>
        <w:pStyle w:val="Tekstpodstawowy"/>
        <w:spacing w:after="60"/>
        <w:ind w:left="567" w:hanging="567"/>
        <w:jc w:val="both"/>
      </w:pPr>
      <w:r>
        <w:rPr>
          <w:color w:val="000000"/>
          <w:szCs w:val="21"/>
        </w:rPr>
        <w:t xml:space="preserve">„15.2. Za ofertę złożoną w terminie Zamawiający uzna ofertę przekazaną </w:t>
      </w:r>
      <w:r>
        <w:rPr>
          <w:b/>
          <w:color w:val="000000"/>
          <w:szCs w:val="21"/>
        </w:rPr>
        <w:t>d</w:t>
      </w:r>
      <w:r>
        <w:rPr>
          <w:b/>
          <w:bCs/>
          <w:color w:val="000000"/>
          <w:szCs w:val="21"/>
        </w:rPr>
        <w:t>o dnia 20.07.2020 r</w:t>
      </w:r>
      <w:r>
        <w:rPr>
          <w:b/>
          <w:color w:val="000000"/>
          <w:szCs w:val="21"/>
        </w:rPr>
        <w:t xml:space="preserve">. do </w:t>
      </w:r>
      <w:r>
        <w:rPr>
          <w:b/>
          <w:color w:val="000000"/>
          <w:szCs w:val="21"/>
        </w:rPr>
        <w:t>godziny 12:00.</w:t>
      </w:r>
      <w:r>
        <w:rPr>
          <w:color w:val="000000"/>
          <w:szCs w:val="21"/>
        </w:rPr>
        <w:t xml:space="preserve"> Za datę przekazania oferty przyjmuje się datę jej przekazania na </w:t>
      </w:r>
      <w:proofErr w:type="spellStart"/>
      <w:r>
        <w:rPr>
          <w:color w:val="000000"/>
          <w:szCs w:val="21"/>
        </w:rPr>
        <w:t>ePUAP</w:t>
      </w:r>
      <w:proofErr w:type="spellEnd"/>
      <w:r>
        <w:rPr>
          <w:color w:val="000000"/>
          <w:szCs w:val="21"/>
        </w:rPr>
        <w:t>.</w:t>
      </w:r>
    </w:p>
    <w:p w:rsidR="00CD4747" w:rsidRDefault="00E53057">
      <w:pPr>
        <w:pStyle w:val="Tekstpodstawowy"/>
        <w:spacing w:after="283"/>
        <w:ind w:left="567" w:hanging="567"/>
        <w:jc w:val="both"/>
      </w:pPr>
      <w:r>
        <w:rPr>
          <w:rFonts w:cs="Calibri"/>
          <w:color w:val="000000"/>
          <w:szCs w:val="21"/>
        </w:rPr>
        <w:t xml:space="preserve">15.4. Otwarcie ofert nastąpi w dniu </w:t>
      </w:r>
      <w:r>
        <w:rPr>
          <w:rFonts w:cs="Calibri"/>
          <w:b/>
          <w:bCs/>
          <w:color w:val="000000"/>
          <w:szCs w:val="21"/>
        </w:rPr>
        <w:t xml:space="preserve">20.07.2020 </w:t>
      </w:r>
      <w:r>
        <w:rPr>
          <w:rFonts w:cs="Calibri"/>
          <w:b/>
          <w:color w:val="000000"/>
          <w:szCs w:val="21"/>
        </w:rPr>
        <w:t xml:space="preserve">r. o godzinie 12.15 </w:t>
      </w:r>
      <w:r>
        <w:rPr>
          <w:rFonts w:cs="Calibri"/>
          <w:color w:val="000000"/>
          <w:szCs w:val="21"/>
        </w:rPr>
        <w:t>w siedzibie Zamawiającego: Urząd Gminy Tryńcza, 37-204 Tryńcza 127.”</w:t>
      </w:r>
    </w:p>
    <w:p w:rsidR="00CD4747" w:rsidRDefault="00CD4747">
      <w:pPr>
        <w:pStyle w:val="Tekstpodstawowy"/>
        <w:spacing w:after="113"/>
        <w:jc w:val="both"/>
        <w:rPr>
          <w:szCs w:val="21"/>
        </w:rPr>
      </w:pPr>
    </w:p>
    <w:p w:rsidR="00CD4747" w:rsidRDefault="00E53057">
      <w:pPr>
        <w:spacing w:before="113" w:after="57" w:line="276" w:lineRule="auto"/>
        <w:jc w:val="both"/>
        <w:rPr>
          <w:szCs w:val="21"/>
        </w:rPr>
      </w:pPr>
      <w:r>
        <w:rPr>
          <w:rFonts w:cs="Liberation Serif"/>
          <w:b/>
          <w:bCs/>
          <w:szCs w:val="21"/>
        </w:rPr>
        <w:t>Pozostałe zapisy Specyfikacji Is</w:t>
      </w:r>
      <w:r>
        <w:rPr>
          <w:rFonts w:cs="Liberation Serif"/>
          <w:b/>
          <w:bCs/>
          <w:szCs w:val="21"/>
        </w:rPr>
        <w:t>totnych Warunków Zamówienia pozostają bez zmian.</w:t>
      </w:r>
    </w:p>
    <w:p w:rsidR="00CD4747" w:rsidRDefault="00CD4747">
      <w:pPr>
        <w:pStyle w:val="Normalny1"/>
        <w:spacing w:after="60" w:line="276" w:lineRule="auto"/>
        <w:jc w:val="both"/>
        <w:rPr>
          <w:rFonts w:ascii="Calibri" w:hAnsi="Calibri"/>
          <w:sz w:val="21"/>
          <w:szCs w:val="21"/>
        </w:rPr>
      </w:pPr>
    </w:p>
    <w:p w:rsidR="00CD4747" w:rsidRDefault="00CD4747">
      <w:pPr>
        <w:jc w:val="both"/>
        <w:rPr>
          <w:color w:val="000000"/>
          <w:szCs w:val="21"/>
        </w:rPr>
      </w:pPr>
    </w:p>
    <w:p w:rsidR="00CD4747" w:rsidRDefault="00CD4747">
      <w:pPr>
        <w:jc w:val="both"/>
        <w:rPr>
          <w:color w:val="000000"/>
          <w:sz w:val="22"/>
          <w:szCs w:val="22"/>
        </w:rPr>
      </w:pPr>
    </w:p>
    <w:p w:rsidR="00CD4747" w:rsidRDefault="00E53057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z up. Wójta Gminy Tryńcza</w:t>
      </w:r>
    </w:p>
    <w:p w:rsidR="00CD4747" w:rsidRDefault="00E53057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(-)</w:t>
      </w:r>
    </w:p>
    <w:p w:rsidR="00CD4747" w:rsidRDefault="00E53057">
      <w:pPr>
        <w:pStyle w:val="DomylneA"/>
        <w:spacing w:after="0" w:line="276" w:lineRule="auto"/>
        <w:ind w:firstLine="4383"/>
        <w:jc w:val="center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 xml:space="preserve">Tomasz </w:t>
      </w:r>
      <w:proofErr w:type="spellStart"/>
      <w:r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Penkal</w:t>
      </w:r>
      <w:proofErr w:type="spellEnd"/>
    </w:p>
    <w:sectPr w:rsidR="00CD474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47"/>
    <w:rsid w:val="00CD4747"/>
    <w:rsid w:val="00E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498E-22D3-426B-B21C-5B15A80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 w:line="100" w:lineRule="atLeast"/>
    </w:pPr>
    <w:rPr>
      <w:b w:val="0"/>
    </w:rPr>
  </w:style>
  <w:style w:type="paragraph" w:customStyle="1" w:styleId="Normalny1">
    <w:name w:val="Normalny1"/>
    <w:qFormat/>
    <w:pPr>
      <w:widowControl w:val="0"/>
      <w:spacing w:line="288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Lewandowska-Świtka</dc:creator>
  <dc:description/>
  <cp:lastModifiedBy>Kasia1</cp:lastModifiedBy>
  <cp:revision>2</cp:revision>
  <cp:lastPrinted>2020-07-01T21:18:00Z</cp:lastPrinted>
  <dcterms:created xsi:type="dcterms:W3CDTF">2020-07-02T09:20:00Z</dcterms:created>
  <dcterms:modified xsi:type="dcterms:W3CDTF">2020-07-02T09:20:00Z</dcterms:modified>
  <dc:language>pl-PL</dc:language>
</cp:coreProperties>
</file>