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AC" w:rsidRDefault="003B613A">
      <w:pPr>
        <w:pStyle w:val="TitleStyle"/>
      </w:pPr>
      <w:r>
        <w:t>Uchwała w sprawie uchwalenia miejscowego planu zagospodarowania przestrzennego Nr 30/11 "Gniewczyna Łańcucka I" w miejscowości Gniewczyna Łańcucka w Gminie Tryńcza.</w:t>
      </w:r>
    </w:p>
    <w:p w:rsidR="008A02AC" w:rsidRDefault="003B613A">
      <w:pPr>
        <w:pStyle w:val="NormalStyle"/>
      </w:pPr>
      <w:r>
        <w:t xml:space="preserve">Podka.2018.3049 </w:t>
      </w:r>
      <w:proofErr w:type="gramStart"/>
      <w:r>
        <w:t>z</w:t>
      </w:r>
      <w:proofErr w:type="gramEnd"/>
      <w:r>
        <w:t xml:space="preserve"> dnia 2018.07.04</w:t>
      </w:r>
    </w:p>
    <w:p w:rsidR="008A02AC" w:rsidRDefault="003B613A">
      <w:pPr>
        <w:pStyle w:val="NormalStyle"/>
      </w:pPr>
      <w:r>
        <w:t>Status: Akt obowiązujący</w:t>
      </w:r>
    </w:p>
    <w:p w:rsidR="008A02AC" w:rsidRDefault="003B613A">
      <w:pPr>
        <w:pStyle w:val="NormalStyle"/>
      </w:pPr>
      <w:r>
        <w:t>Wersja od: 4 lipca 2018r.</w:t>
      </w:r>
    </w:p>
    <w:p w:rsidR="00AB5742" w:rsidRPr="00AB5742" w:rsidRDefault="000C326B" w:rsidP="000C326B">
      <w:pPr>
        <w:spacing w:after="0"/>
        <w:jc w:val="right"/>
        <w:rPr>
          <w:b/>
          <w:color w:val="FF0000"/>
          <w:highlight w:val="yellow"/>
          <w:u w:val="single"/>
        </w:rPr>
      </w:pPr>
      <w:r w:rsidRPr="00AB5742">
        <w:rPr>
          <w:b/>
          <w:color w:val="FF0000"/>
          <w:highlight w:val="yellow"/>
          <w:u w:val="single"/>
        </w:rPr>
        <w:t xml:space="preserve">ZMIANY poddane </w:t>
      </w:r>
    </w:p>
    <w:p w:rsidR="00AB5742" w:rsidRPr="00AB5742" w:rsidRDefault="00AB5742" w:rsidP="000C326B">
      <w:pPr>
        <w:spacing w:after="0"/>
        <w:jc w:val="right"/>
        <w:rPr>
          <w:b/>
          <w:color w:val="FF0000"/>
          <w:highlight w:val="yellow"/>
          <w:u w:val="single"/>
        </w:rPr>
      </w:pPr>
      <w:proofErr w:type="gramStart"/>
      <w:r w:rsidRPr="00AB5742">
        <w:rPr>
          <w:b/>
          <w:color w:val="FF0000"/>
          <w:highlight w:val="yellow"/>
          <w:u w:val="single"/>
        </w:rPr>
        <w:t>wyłożeniu</w:t>
      </w:r>
      <w:proofErr w:type="gramEnd"/>
      <w:r w:rsidRPr="00AB5742">
        <w:rPr>
          <w:b/>
          <w:color w:val="FF0000"/>
          <w:highlight w:val="yellow"/>
          <w:u w:val="single"/>
        </w:rPr>
        <w:t xml:space="preserve"> do publicznego wglądu</w:t>
      </w:r>
      <w:r w:rsidR="000C326B" w:rsidRPr="00AB5742">
        <w:rPr>
          <w:b/>
          <w:color w:val="FF0000"/>
          <w:highlight w:val="yellow"/>
          <w:u w:val="single"/>
        </w:rPr>
        <w:t xml:space="preserve"> </w:t>
      </w:r>
    </w:p>
    <w:p w:rsidR="000C326B" w:rsidRDefault="000C326B" w:rsidP="000C326B">
      <w:pPr>
        <w:spacing w:after="0"/>
        <w:jc w:val="right"/>
        <w:rPr>
          <w:b/>
          <w:color w:val="FF0000"/>
          <w:highlight w:val="yellow"/>
        </w:rPr>
      </w:pPr>
      <w:r w:rsidRPr="00822953">
        <w:rPr>
          <w:b/>
          <w:color w:val="FF0000"/>
          <w:highlight w:val="yellow"/>
        </w:rPr>
        <w:t xml:space="preserve">POKAZANO CZCIONKĄ </w:t>
      </w:r>
    </w:p>
    <w:p w:rsidR="00AB5742" w:rsidRDefault="000C326B" w:rsidP="000C326B">
      <w:pPr>
        <w:spacing w:after="0"/>
        <w:jc w:val="right"/>
        <w:rPr>
          <w:b/>
          <w:color w:val="FF0000"/>
          <w:highlight w:val="yellow"/>
        </w:rPr>
      </w:pPr>
      <w:r w:rsidRPr="00822953">
        <w:rPr>
          <w:b/>
          <w:color w:val="FF0000"/>
          <w:highlight w:val="yellow"/>
        </w:rPr>
        <w:t xml:space="preserve">W KOLORZE </w:t>
      </w:r>
      <w:r>
        <w:rPr>
          <w:b/>
          <w:color w:val="FF0000"/>
          <w:highlight w:val="yellow"/>
        </w:rPr>
        <w:t>CZERWONYM</w:t>
      </w:r>
      <w:r w:rsidRPr="00822953">
        <w:rPr>
          <w:b/>
          <w:color w:val="FF0000"/>
          <w:highlight w:val="yellow"/>
        </w:rPr>
        <w:t xml:space="preserve"> </w:t>
      </w:r>
    </w:p>
    <w:p w:rsidR="000C326B" w:rsidRDefault="000C326B" w:rsidP="000C326B">
      <w:pPr>
        <w:spacing w:after="0"/>
        <w:jc w:val="right"/>
        <w:rPr>
          <w:b/>
          <w:color w:val="FF0000"/>
          <w:highlight w:val="yellow"/>
        </w:rPr>
      </w:pPr>
      <w:r w:rsidRPr="00822953">
        <w:rPr>
          <w:b/>
          <w:color w:val="FF0000"/>
          <w:highlight w:val="yellow"/>
        </w:rPr>
        <w:t xml:space="preserve">Z </w:t>
      </w:r>
      <w:r>
        <w:rPr>
          <w:b/>
          <w:color w:val="FF0000"/>
          <w:highlight w:val="yellow"/>
        </w:rPr>
        <w:t xml:space="preserve">ŻÓŁTYM </w:t>
      </w:r>
      <w:r w:rsidRPr="00822953">
        <w:rPr>
          <w:b/>
          <w:color w:val="FF0000"/>
          <w:highlight w:val="yellow"/>
        </w:rPr>
        <w:t>PODKREŚLENIEM</w:t>
      </w:r>
    </w:p>
    <w:p w:rsidR="008A02AC" w:rsidRDefault="003B613A">
      <w:pPr>
        <w:spacing w:after="0"/>
      </w:pPr>
      <w:bookmarkStart w:id="0" w:name="_GoBack"/>
      <w:bookmarkEnd w:id="0"/>
      <w:r>
        <w:br/>
      </w:r>
    </w:p>
    <w:p w:rsidR="008A02AC" w:rsidRDefault="003B613A">
      <w:pPr>
        <w:spacing w:after="0"/>
      </w:pPr>
      <w:r>
        <w:rPr>
          <w:b/>
          <w:color w:val="000000"/>
        </w:rPr>
        <w:t>Wejście w życie:</w:t>
      </w:r>
    </w:p>
    <w:p w:rsidR="008A02AC" w:rsidRDefault="003B613A">
      <w:pPr>
        <w:spacing w:after="0"/>
      </w:pPr>
      <w:r>
        <w:rPr>
          <w:color w:val="000000"/>
        </w:rPr>
        <w:t>19 lipca 2018 r.</w:t>
      </w:r>
    </w:p>
    <w:p w:rsidR="008A02AC" w:rsidRDefault="003B613A">
      <w:pPr>
        <w:spacing w:after="0"/>
      </w:pPr>
      <w:r>
        <w:br/>
      </w:r>
    </w:p>
    <w:p w:rsidR="008A02AC" w:rsidRDefault="003B613A">
      <w:pPr>
        <w:spacing w:before="146" w:after="0"/>
        <w:jc w:val="center"/>
      </w:pPr>
      <w:r>
        <w:rPr>
          <w:b/>
          <w:color w:val="000000"/>
        </w:rPr>
        <w:t>UCHWAŁA Nr XXXV/362/2018</w:t>
      </w:r>
    </w:p>
    <w:p w:rsidR="008A02AC" w:rsidRDefault="003B613A">
      <w:pPr>
        <w:spacing w:after="0"/>
        <w:jc w:val="center"/>
      </w:pPr>
      <w:r>
        <w:rPr>
          <w:b/>
          <w:color w:val="000000"/>
        </w:rPr>
        <w:t>RADY GMINY TRYŃCZA</w:t>
      </w:r>
    </w:p>
    <w:p w:rsidR="008A02AC" w:rsidRDefault="003B613A">
      <w:pPr>
        <w:spacing w:before="80" w:after="0"/>
        <w:jc w:val="center"/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15 maja 2018 r.</w:t>
      </w:r>
    </w:p>
    <w:p w:rsidR="008A02AC" w:rsidRDefault="003B613A">
      <w:pPr>
        <w:spacing w:before="80" w:after="0"/>
        <w:jc w:val="center"/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sprawie uchwalenia miejscowego planu zagospodarowania przestrzennego Nr 30/11 "Gniewczyna Łańcucka I" w miejscowości Gniewczyna Łańcucka w Gminie Tryńcza.</w:t>
      </w:r>
    </w:p>
    <w:p w:rsidR="008A02AC" w:rsidRDefault="003B613A">
      <w:pPr>
        <w:spacing w:before="320" w:after="320"/>
        <w:jc w:val="center"/>
      </w:pPr>
      <w:r>
        <w:t>(</w:t>
      </w:r>
      <w:proofErr w:type="spellStart"/>
      <w:r>
        <w:t>Podka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2018 r. poz. 3049.)</w:t>
      </w:r>
    </w:p>
    <w:p w:rsidR="008A02AC" w:rsidRDefault="003B613A">
      <w:pPr>
        <w:spacing w:before="80" w:after="240"/>
        <w:jc w:val="center"/>
      </w:pPr>
      <w:r>
        <w:rPr>
          <w:color w:val="000000"/>
        </w:rPr>
        <w:t xml:space="preserve">Na postawie </w:t>
      </w:r>
      <w:r>
        <w:rPr>
          <w:color w:val="1B1B1B"/>
        </w:rPr>
        <w:t>art. 18 ust. 2 pkt 5</w:t>
      </w:r>
      <w:r>
        <w:rPr>
          <w:color w:val="000000"/>
        </w:rPr>
        <w:t xml:space="preserve"> ustawy z dnia 8 marca 1990 r. o samorządzie gminnym (tekst jedn.: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2017 r. poz. 1875 z póź.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 oraz </w:t>
      </w:r>
      <w:r>
        <w:rPr>
          <w:color w:val="1B1B1B"/>
        </w:rPr>
        <w:t>art. 20 ust. 1</w:t>
      </w:r>
      <w:r>
        <w:rPr>
          <w:color w:val="000000"/>
        </w:rPr>
        <w:t xml:space="preserve"> ustawy z dnia 27 marca 2003 r. o planowaniu i zagospodarowaniu przestrzennym (tekst jedn.: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2017 r. poz. 1073 z późn.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.), po stwierdzeniu, iż plan nie narusza ustaleń Studium Uwarunkowań i Kierunków Zagospodarowania Przestrzennego Gminy Tryńcza uchwalonego Uchwałą Nr XVIII/169/2000 Rady Gminy Tryńcza z dnia 17 listopada 2000 r., z późn. zm. Rada Gminy Tryńcza </w:t>
      </w:r>
      <w:proofErr w:type="gramStart"/>
      <w:r>
        <w:rPr>
          <w:color w:val="000000"/>
        </w:rPr>
        <w:t>uchwala co</w:t>
      </w:r>
      <w:proofErr w:type="gramEnd"/>
      <w:r>
        <w:rPr>
          <w:color w:val="000000"/>
        </w:rPr>
        <w:t xml:space="preserve"> następuje:</w:t>
      </w:r>
    </w:p>
    <w:p w:rsidR="008A02AC" w:rsidRDefault="008A02AC">
      <w:pPr>
        <w:spacing w:after="0"/>
      </w:pPr>
    </w:p>
    <w:p w:rsidR="008A02AC" w:rsidRDefault="003B613A">
      <w:pPr>
        <w:spacing w:before="146" w:after="0"/>
        <w:jc w:val="center"/>
      </w:pPr>
      <w:r>
        <w:rPr>
          <w:b/>
          <w:color w:val="000000"/>
        </w:rPr>
        <w:t xml:space="preserve">Rozdział  1. </w:t>
      </w:r>
    </w:p>
    <w:p w:rsidR="008A02AC" w:rsidRDefault="003B613A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1.  </w:t>
      </w:r>
    </w:p>
    <w:p w:rsidR="008A02AC" w:rsidRDefault="003B613A">
      <w:pPr>
        <w:spacing w:before="26" w:after="0"/>
      </w:pPr>
      <w:r>
        <w:rPr>
          <w:color w:val="000000"/>
        </w:rPr>
        <w:t>1.  Uchwala się miejscowy plan zagospodarowania przestrzennego Nr 30/11 "Gniewczyna Łańcucka I " w Gniewczynie Łańcuckiej, zwany dalej planem.</w:t>
      </w:r>
    </w:p>
    <w:p w:rsidR="008A02AC" w:rsidRDefault="003B613A">
      <w:pPr>
        <w:spacing w:before="26" w:after="0"/>
      </w:pPr>
      <w:r>
        <w:rPr>
          <w:color w:val="000000"/>
        </w:rPr>
        <w:t>2.  Plan obejmuje obszar o powierzchni ok. 77,4 ha, położony po południowej stronie rzeki Wisłok w sołectwie Gniewczyna Łańcucka i obejmuje granice udokumentowanego złoża kruszywa naturalnego: "Gniewczyna Łańcucka I" oraz w części "Gniewczyna Łańcucka" wraz z terenami górniczymi "Gniewczyna Łańcucka II", Gniewczyna Łańcucka III" oraz w części teren górniczy "Gniewczyna Łańcucka I".</w:t>
      </w:r>
    </w:p>
    <w:p w:rsidR="008A02AC" w:rsidRDefault="003B613A">
      <w:pPr>
        <w:spacing w:before="26" w:after="0"/>
      </w:pPr>
      <w:r>
        <w:rPr>
          <w:color w:val="000000"/>
        </w:rPr>
        <w:t>3.  Załącznikami stanowiącymi integralną część niniejszej uchwały są: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rysunek planu, wykonany na mapie w skali</w:t>
      </w:r>
      <w:proofErr w:type="gramStart"/>
      <w:r>
        <w:rPr>
          <w:color w:val="000000"/>
        </w:rPr>
        <w:t xml:space="preserve"> 1:2000 oznaczony</w:t>
      </w:r>
      <w:proofErr w:type="gramEnd"/>
      <w:r>
        <w:rPr>
          <w:color w:val="000000"/>
        </w:rPr>
        <w:t xml:space="preserve"> jako Załącznik Nr 1,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 xml:space="preserve">2) rozstrzygnięcie o sposobie realizacji zapisanych w planie inwestycji z zakresu infrastruktury technicznej, które należą do zadań własnych gminy oraz zasadach ich finansowania, </w:t>
      </w:r>
      <w:proofErr w:type="gramStart"/>
      <w:r>
        <w:rPr>
          <w:color w:val="000000"/>
        </w:rPr>
        <w:t>oznaczone jako</w:t>
      </w:r>
      <w:proofErr w:type="gramEnd"/>
      <w:r>
        <w:rPr>
          <w:color w:val="000000"/>
        </w:rPr>
        <w:t xml:space="preserve"> Załącznik nr 2.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2.  </w:t>
      </w:r>
    </w:p>
    <w:p w:rsidR="008A02AC" w:rsidRDefault="003B613A">
      <w:pPr>
        <w:spacing w:before="26" w:after="0"/>
      </w:pPr>
      <w:r>
        <w:rPr>
          <w:color w:val="000000"/>
        </w:rPr>
        <w:t>1.  W granicach planu wyznacza się tereny o różnym przeznaczeniu lub o różnych zasadach zagospodarowania, oznaczone na rysunku planu kolejnymi symbolami: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PE1-PE</w:t>
      </w:r>
      <w:r w:rsidRPr="000C326B">
        <w:rPr>
          <w:strike/>
          <w:color w:val="FF0000"/>
          <w:highlight w:val="yellow"/>
        </w:rPr>
        <w:t>9</w:t>
      </w:r>
      <w:r w:rsidR="000C326B" w:rsidRPr="000C326B">
        <w:rPr>
          <w:b/>
          <w:color w:val="FF0000"/>
          <w:highlight w:val="yellow"/>
        </w:rPr>
        <w:t>10</w:t>
      </w:r>
      <w:r>
        <w:rPr>
          <w:color w:val="000000"/>
        </w:rPr>
        <w:t xml:space="preserve"> - tereny eksploatacji kruszywa naturalnego (PE),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R1-R5 - tereny rolnicze (R),</w:t>
      </w:r>
    </w:p>
    <w:p w:rsidR="008A02AC" w:rsidRPr="000C326B" w:rsidRDefault="003B613A">
      <w:pPr>
        <w:spacing w:before="26" w:after="0"/>
        <w:ind w:left="373"/>
        <w:rPr>
          <w:lang w:val="en-US"/>
        </w:rPr>
      </w:pPr>
      <w:r w:rsidRPr="000C326B">
        <w:rPr>
          <w:color w:val="000000"/>
          <w:lang w:val="en-US"/>
        </w:rPr>
        <w:t xml:space="preserve">3) LS1-LS2 - </w:t>
      </w:r>
      <w:proofErr w:type="spellStart"/>
      <w:r w:rsidRPr="000C326B">
        <w:rPr>
          <w:color w:val="000000"/>
          <w:lang w:val="en-US"/>
        </w:rPr>
        <w:t>tereny</w:t>
      </w:r>
      <w:proofErr w:type="spellEnd"/>
      <w:r w:rsidRPr="000C326B">
        <w:rPr>
          <w:color w:val="000000"/>
          <w:lang w:val="en-US"/>
        </w:rPr>
        <w:t xml:space="preserve"> </w:t>
      </w:r>
      <w:proofErr w:type="spellStart"/>
      <w:r w:rsidRPr="000C326B">
        <w:rPr>
          <w:color w:val="000000"/>
          <w:lang w:val="en-US"/>
        </w:rPr>
        <w:t>leśne</w:t>
      </w:r>
      <w:proofErr w:type="spellEnd"/>
      <w:r w:rsidRPr="000C326B">
        <w:rPr>
          <w:color w:val="000000"/>
          <w:lang w:val="en-US"/>
        </w:rPr>
        <w:t xml:space="preserve"> (Ls),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4) KX1-KX7 - tereny ciągów pieszo-rowerowych (KX),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lastRenderedPageBreak/>
        <w:t>5) WS1 - teren wód powierzchniowych - starorzecza (WS).</w:t>
      </w:r>
    </w:p>
    <w:p w:rsidR="008A02AC" w:rsidRDefault="003B613A">
      <w:pPr>
        <w:spacing w:before="26" w:after="0"/>
      </w:pPr>
      <w:r>
        <w:rPr>
          <w:color w:val="000000"/>
        </w:rPr>
        <w:t>2.  Ustalenia planu stanowią treść niniejszej uchwały.</w:t>
      </w:r>
    </w:p>
    <w:p w:rsidR="008A02AC" w:rsidRDefault="003B613A">
      <w:pPr>
        <w:spacing w:before="26" w:after="0"/>
      </w:pPr>
      <w:r>
        <w:rPr>
          <w:color w:val="000000"/>
        </w:rPr>
        <w:t>3.  Oznaczenia terenów o różnym przeznaczeniu lub o różnych zasadach zagospodarowania określone w tekście planu mają odniesienie do terenów oznaczonych na rysunku planu, jako oznaczenia stanowione.</w:t>
      </w:r>
    </w:p>
    <w:p w:rsidR="008A02AC" w:rsidRDefault="003B613A">
      <w:pPr>
        <w:spacing w:before="26" w:after="0"/>
      </w:pPr>
      <w:r>
        <w:rPr>
          <w:color w:val="000000"/>
        </w:rPr>
        <w:t xml:space="preserve">4.  Oznaczenia informacyjne, zawarte na rysunku planu, nie stanowią ustaleń planu i obowiązują w zakresie przepisów, w </w:t>
      </w:r>
      <w:proofErr w:type="gramStart"/>
      <w:r>
        <w:rPr>
          <w:color w:val="000000"/>
        </w:rPr>
        <w:t>oparciu o które</w:t>
      </w:r>
      <w:proofErr w:type="gramEnd"/>
      <w:r>
        <w:rPr>
          <w:color w:val="000000"/>
        </w:rPr>
        <w:t xml:space="preserve"> zostały określone lub zawierają odniesienie do warunków występujących w obszarze planu.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3.  </w:t>
      </w:r>
    </w:p>
    <w:p w:rsidR="008A02AC" w:rsidRDefault="003B613A">
      <w:pPr>
        <w:spacing w:before="26" w:after="0"/>
      </w:pPr>
      <w:r>
        <w:rPr>
          <w:color w:val="000000"/>
        </w:rPr>
        <w:t>1.  Przy zagospodarowaniu terenów położonych w granicach planu wymagane zachowanie warunków wynikających z ich położenia w granicach Głównego Zbiornika Wód Podziemnych nr 425, zgodnie z ustaleniami zawartymi w przepisach szczegółowych niniejszej uchwały.</w:t>
      </w:r>
    </w:p>
    <w:p w:rsidR="008A02AC" w:rsidRDefault="003B613A">
      <w:pPr>
        <w:spacing w:before="26" w:after="0"/>
      </w:pPr>
      <w:r>
        <w:rPr>
          <w:color w:val="000000"/>
        </w:rPr>
        <w:t xml:space="preserve">2.  Zagospodarowanie terenu położonego w granicach planu wymaga zachowania nakazów, zakazów, ograniczeń i </w:t>
      </w:r>
      <w:proofErr w:type="spellStart"/>
      <w:r>
        <w:rPr>
          <w:color w:val="000000"/>
        </w:rPr>
        <w:t>dopuszczeń</w:t>
      </w:r>
      <w:proofErr w:type="spellEnd"/>
      <w:r>
        <w:rPr>
          <w:color w:val="000000"/>
        </w:rPr>
        <w:t xml:space="preserve"> wynikających z przepisów odrębnych, dotyczących ochrony przeciwpowodziowej, w tym: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przy zagospodarowaniu wszystkich terenów w graniach planu zachować warunki wynikające z położenia działek w zasięgu obszarów: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szczególnego zagrożenia powodzią raz na 100 lat (Q 1%),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narażonych na niebezpieczeństwo wystąpienia powodzi raz na 500 lat (Q 0,2%)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przy zagospodarowaniu działek położonych w obszarze szczególnego zagrożenia powodzią Q 10% zachować warunki określone w przepisach odrębnych dotyczących ochrony przeciwpowodziowej oraz zawarte w przepisach szczegółowych niniejszej uchwały,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3) granice terenów szczególnego zagrożenia powodzią Q 10%, jak oznaczono na rysunku planu.</w:t>
      </w:r>
    </w:p>
    <w:p w:rsidR="008A02AC" w:rsidRDefault="003B613A">
      <w:pPr>
        <w:spacing w:before="26" w:after="0"/>
      </w:pPr>
      <w:r>
        <w:rPr>
          <w:color w:val="000000"/>
        </w:rPr>
        <w:t>3.  Ustala się: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 xml:space="preserve">1) filar ochronny od rzeki Wisłok, wyznaczony w odległości 100m od linii brzegowej rzeki, jak oznaczono na rysunku planu, dla </w:t>
      </w:r>
      <w:proofErr w:type="gramStart"/>
      <w:r>
        <w:rPr>
          <w:color w:val="000000"/>
        </w:rPr>
        <w:t>ochrony którego</w:t>
      </w:r>
      <w:proofErr w:type="gramEnd"/>
      <w:r>
        <w:rPr>
          <w:color w:val="000000"/>
        </w:rPr>
        <w:t xml:space="preserve"> obowiązują zakazy zawarte w przepisach szczegółowych niniejszej uchwały,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 xml:space="preserve">2) pas ochronny od starorzecza, wyznaczony w odległości min. 50m od terenu wód powierzchniowych starorzecza, jak oznaczono na rysunku planu, dla </w:t>
      </w:r>
      <w:proofErr w:type="gramStart"/>
      <w:r>
        <w:rPr>
          <w:color w:val="000000"/>
        </w:rPr>
        <w:t>ochrony którego</w:t>
      </w:r>
      <w:proofErr w:type="gramEnd"/>
      <w:r>
        <w:rPr>
          <w:color w:val="000000"/>
        </w:rPr>
        <w:t xml:space="preserve"> obowiązują zakazy zawarte w przepisach szczegółowych niniejszej uchwały,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3) pas ochronny od terenów rolnych, wyznaczony w odległości od 6m do 16m od linii rozgraniczających tereny rolne, jak oznaczono na rysunku planu,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4) nieprzekraczalną linię eksploatacji złoża, jak oznaczono na rysunku planu.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4.  </w:t>
      </w:r>
    </w:p>
    <w:p w:rsidR="008A02AC" w:rsidRDefault="003B613A">
      <w:pPr>
        <w:spacing w:before="26" w:after="0"/>
      </w:pPr>
      <w:r>
        <w:rPr>
          <w:color w:val="000000"/>
        </w:rPr>
        <w:t>1.  Eksploatacji złoża podlegają tereny w granicach wydzielonych nieprzekraczalnymi liniami eksploatacji złoża i granicami planu, w tym obejmujące tereny eksploatacji kruszywa naturalnego i ciągów pieszo-rowerowych, stanowiące tymczasowe zagospodarowanie terenu dla potrzeb eksploatacji złoża, zgodnie z ustaleniami planu.</w:t>
      </w:r>
    </w:p>
    <w:p w:rsidR="00744D97" w:rsidRPr="00744D97" w:rsidRDefault="00744D97" w:rsidP="00744D97">
      <w:pPr>
        <w:spacing w:before="26" w:after="0"/>
        <w:rPr>
          <w:b/>
          <w:color w:val="FF0000"/>
          <w:highlight w:val="yellow"/>
        </w:rPr>
      </w:pPr>
      <w:r w:rsidRPr="00744D97">
        <w:rPr>
          <w:b/>
          <w:color w:val="FF0000"/>
          <w:highlight w:val="yellow"/>
        </w:rPr>
        <w:t xml:space="preserve">1a. W terenie PE10 uwzględnić zaznaczone na rysunku planu tereny i obszary górnicze: Gniewczyna Łańcucka II – część A - utworzony decyzją znak OS-IV.7422.20.2017.AR Marszałka Województwa Podkarpackiego z dnia 20.06.2017 </w:t>
      </w:r>
      <w:proofErr w:type="gramStart"/>
      <w:r w:rsidRPr="00744D97">
        <w:rPr>
          <w:b/>
          <w:color w:val="FF0000"/>
          <w:highlight w:val="yellow"/>
        </w:rPr>
        <w:t>r</w:t>
      </w:r>
      <w:proofErr w:type="gramEnd"/>
      <w:r w:rsidRPr="00744D97">
        <w:rPr>
          <w:b/>
          <w:color w:val="FF0000"/>
          <w:highlight w:val="yellow"/>
        </w:rPr>
        <w:t xml:space="preserve">. oraz Gniewczyna Łańcucka III – część B - utworzony decyzją znak OS-IV.7422.11.2019.AR Marszałka Województwa Podkarpackiego z dnia 05.06.2019 </w:t>
      </w:r>
      <w:proofErr w:type="gramStart"/>
      <w:r w:rsidRPr="00744D97">
        <w:rPr>
          <w:b/>
          <w:color w:val="FF0000"/>
          <w:highlight w:val="yellow"/>
        </w:rPr>
        <w:t>r</w:t>
      </w:r>
      <w:proofErr w:type="gramEnd"/>
      <w:r w:rsidRPr="00744D97">
        <w:rPr>
          <w:b/>
          <w:color w:val="FF0000"/>
          <w:highlight w:val="yellow"/>
        </w:rPr>
        <w:t>., poprzez zagospodarowanie terenów położ</w:t>
      </w:r>
      <w:r>
        <w:rPr>
          <w:b/>
          <w:color w:val="FF0000"/>
          <w:highlight w:val="yellow"/>
        </w:rPr>
        <w:t>onych w jego obrębie zgodnie z przepisami</w:t>
      </w:r>
      <w:r w:rsidRPr="00744D97">
        <w:rPr>
          <w:b/>
          <w:color w:val="FF0000"/>
          <w:highlight w:val="yellow"/>
        </w:rPr>
        <w:t xml:space="preserve"> szczegółowymi.</w:t>
      </w:r>
    </w:p>
    <w:p w:rsidR="008A02AC" w:rsidRDefault="003B613A">
      <w:pPr>
        <w:spacing w:before="26" w:after="0"/>
      </w:pPr>
      <w:r>
        <w:rPr>
          <w:color w:val="000000"/>
        </w:rPr>
        <w:t>2.  Ustala się zagospodarowanie terenów, po zakończeniu eksploatacji złoża kruszywa oraz po wykonaniu rekultywacji terenów po działalności górniczej, zgodnie z przepisami szczegółowymi niniejszej uchwały, w tym: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nie dopuszcza się realizacji przedsięwzięć mogących zawsze znacząco lub potencjalnie oddziaływać na środowisko, dla których zostanie nałożony obowiązek oceny oddziaływania na środowisko w rozumieniu przepisów o ochronie środowiska, z wyłączeniem obiektów i urządzeń infrastruktury technicznej.</w:t>
      </w:r>
    </w:p>
    <w:p w:rsidR="008A02AC" w:rsidRDefault="003B613A">
      <w:pPr>
        <w:spacing w:before="26" w:after="0"/>
      </w:pPr>
      <w:r>
        <w:rPr>
          <w:color w:val="000000"/>
        </w:rPr>
        <w:t>3.  Ustalenia dotyczące zabudowy rekreacyjnej obejmują budynki letniskowe (rekreacji indywidualnej), obiekty usług turystycznych i agroturystycznych.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5.  </w:t>
      </w:r>
    </w:p>
    <w:p w:rsidR="008A02AC" w:rsidRDefault="003B613A">
      <w:pPr>
        <w:spacing w:before="26" w:after="0"/>
      </w:pPr>
      <w:r>
        <w:rPr>
          <w:color w:val="000000"/>
        </w:rPr>
        <w:t>1.  Ustala się zasady zagospodarowania terenów w zakresie komunikacji i infrastruktury technicznej: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dostępność terenów objętych granicami planu: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z istniejącej drogi publicznej, gminnej i dróg gruntowych (poza granicami planu),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poprzez ciągi pieszo-rowerowe i dojazdy do nieruchomości,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lastRenderedPageBreak/>
        <w:t>2) w zakresie zaopatrzenia w energię: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dopuszcza się lokalizację stacji transformatorowej oraz obiektów fotowoltaicznych i innych urządzeń wytwarzających energię ze źródeł odnawialnych o mocy do 100kW,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włączenie obiektów do sieci elektroenergetycznej w granicach planu i na terenie sąsiadującym z terenem objętym granicami planu, poprzez linie napowietrzne i kablowe 0,4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lub 15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3) zaopatrzenie w wodę: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poprzez włączenie obiektów do sieci wodociągowej, o średnicy Ø 90mm, przeprowadzonej na terenie sąsiadującym z terenem objętym granicami planu,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w trakcie prowadzenia eksploatacji złoża z dopuszczeniem indywidualnych rozwiązań zaopatrzenia w wodę, w tym pojemników na wodę,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4) odprowadzenie ścieków: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bytowych i przemysłowych do sieci kanalizacyjnej o średnicy Ø 160mm, przeprowadzonej na terenie sąsiadującym z terenem objętym granicami planu, wraz z jej rozbudową, na terenie objętym granicami planu,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w trakcie prowadzenia eksploatacji złoża z dopuszczeniem rozwiązań indywidualnych, w tym gromadzenia ścieków bytowych w przenośnym urządzeniu sanitarnym, okresowo opróżnianym i przekazywania ścieków do oczyszczalni,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5) odprowadzenie wód opadowych i roztopowych z powierzchni utwardzonych, po ich oczyszczeniu, na tereny powierzchni biologicznie czynnej i do odbiorników,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6) zaopatrzenie w gaz z istniejącej sieci g Ø 25 przeprowadzonej na terenie sąsiadującym z terenem objętym granicami planu,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 xml:space="preserve">7) ogrzewanie obiektów z wykorzystaniem rozwiązań indywidualnych, korzystnych dla ochrony środowiska, w sposób zapewniający ograniczenie emisji zanieczyszczeń. </w:t>
      </w:r>
      <w:proofErr w:type="gramStart"/>
      <w:r>
        <w:rPr>
          <w:color w:val="000000"/>
        </w:rPr>
        <w:t>ogrzewanie</w:t>
      </w:r>
      <w:proofErr w:type="gramEnd"/>
      <w:r>
        <w:rPr>
          <w:color w:val="000000"/>
        </w:rPr>
        <w:t xml:space="preserve"> obiektów z wykorzystaniem rozwiązań indywidualnych i przy zachowaniu przepisów dotyczących ochrony środowiska.</w:t>
      </w:r>
    </w:p>
    <w:p w:rsidR="008A02AC" w:rsidRDefault="003B613A">
      <w:pPr>
        <w:spacing w:before="26" w:after="0"/>
      </w:pPr>
      <w:r>
        <w:rPr>
          <w:color w:val="000000"/>
        </w:rPr>
        <w:t>2.  Przy zachowaniu ustaleń zawartych w przepisach szczegółowych niniejszej uchwały w granicach terenów objętych planem dopuszcza się: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budowę, rozbudowę i przebudowę sieci oraz urządzeń infrastruktury technicznej, w tym z zakresu łączności publicznej,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zmianę parametrów sieci do 200%,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wydzielenie terenu dla potrzeb ich sieci infrastruktury technicznej oraz wydzielenie działki o powierzchni do 0,01ha na potrzeby usytuowania obiektów z nimi związanych.</w:t>
      </w:r>
    </w:p>
    <w:p w:rsidR="008A02AC" w:rsidRDefault="003B613A">
      <w:pPr>
        <w:spacing w:before="26" w:after="0"/>
      </w:pPr>
      <w:r>
        <w:rPr>
          <w:color w:val="000000"/>
        </w:rPr>
        <w:t>3.  Przy zagospodarowaniu terenów objętych granicami planu wymagane zachowanie bezpiecznych odległości od sieci i obiektów infrastruktury technicznej, w tym pozostawienia pod linią napowietrzną pasa terenu o szerokości 10m, tj. po 5m od osi linii średniego napięcia (SN).</w:t>
      </w:r>
    </w:p>
    <w:p w:rsidR="008A02AC" w:rsidRDefault="003B613A">
      <w:pPr>
        <w:spacing w:before="26" w:after="0"/>
      </w:pPr>
      <w:r>
        <w:rPr>
          <w:color w:val="000000"/>
        </w:rPr>
        <w:t>4.  Ustalenie w przepisach szczegółowych planu wymaganej ilości miejsc postojowych, obejmuje również miejsca na parkowanie pojazdów zaopatrzonych w kartę parkingową, której stosowanie regulują przepisy odrębne.</w:t>
      </w:r>
    </w:p>
    <w:p w:rsidR="008A02AC" w:rsidRDefault="003B613A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1 Do czasu realizacji ustaleń planu dopuszcza się dotychczasowy sposób zagospodarowania terenów w granicach planu. 6.2 W związku z uchwaleniem planu ustala się 0,1% stawkę służącą naliczeniu opłaty z tytułu wzrostu wartości nieruchomości objętych granicami planu.</w:t>
      </w:r>
    </w:p>
    <w:p w:rsidR="008A02AC" w:rsidRPr="00425570" w:rsidRDefault="00425570" w:rsidP="00425570">
      <w:pPr>
        <w:spacing w:before="26" w:after="240"/>
        <w:jc w:val="both"/>
        <w:rPr>
          <w:b/>
          <w:color w:val="FF0000"/>
          <w:highlight w:val="yellow"/>
        </w:rPr>
      </w:pPr>
      <w:r w:rsidRPr="00425570">
        <w:rPr>
          <w:b/>
          <w:color w:val="FF0000"/>
          <w:highlight w:val="yellow"/>
        </w:rPr>
        <w:t xml:space="preserve">§6a. Ustala się stawkę procentową, na </w:t>
      </w:r>
      <w:proofErr w:type="gramStart"/>
      <w:r w:rsidRPr="00425570">
        <w:rPr>
          <w:b/>
          <w:color w:val="FF0000"/>
          <w:highlight w:val="yellow"/>
        </w:rPr>
        <w:t>podstawie której</w:t>
      </w:r>
      <w:proofErr w:type="gramEnd"/>
      <w:r w:rsidRPr="00425570">
        <w:rPr>
          <w:b/>
          <w:color w:val="FF0000"/>
          <w:highlight w:val="yellow"/>
        </w:rPr>
        <w:t xml:space="preserve"> określa się jednorazową opłatę z tytułu wzrostu wartości nieruchomości w związku z uchwaleniem planu dla terenu PE10 w wysokości 0,1%”.</w:t>
      </w:r>
    </w:p>
    <w:p w:rsidR="008A02AC" w:rsidRDefault="003B613A">
      <w:pPr>
        <w:spacing w:before="146" w:after="0"/>
        <w:jc w:val="center"/>
      </w:pPr>
      <w:r>
        <w:rPr>
          <w:b/>
          <w:color w:val="000000"/>
        </w:rPr>
        <w:t xml:space="preserve">Rozdział  2. </w:t>
      </w:r>
    </w:p>
    <w:p w:rsidR="008A02AC" w:rsidRDefault="003B613A">
      <w:pPr>
        <w:spacing w:before="25" w:after="0"/>
        <w:jc w:val="center"/>
      </w:pPr>
      <w:r>
        <w:rPr>
          <w:b/>
          <w:color w:val="000000"/>
        </w:rPr>
        <w:t>Przepisy szczegółowe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7.  </w:t>
      </w:r>
    </w:p>
    <w:p w:rsidR="008A02AC" w:rsidRDefault="003B613A">
      <w:pPr>
        <w:spacing w:before="26" w:after="0"/>
      </w:pPr>
      <w:r>
        <w:rPr>
          <w:color w:val="000000"/>
        </w:rPr>
        <w:t xml:space="preserve">1.  Tereny oznaczone symbolem </w:t>
      </w:r>
      <w:r>
        <w:rPr>
          <w:b/>
          <w:color w:val="000000"/>
        </w:rPr>
        <w:t>PE1-PE</w:t>
      </w:r>
      <w:r w:rsidR="00725510" w:rsidRPr="000C326B">
        <w:rPr>
          <w:strike/>
          <w:color w:val="FF0000"/>
          <w:highlight w:val="yellow"/>
        </w:rPr>
        <w:t>9</w:t>
      </w:r>
      <w:r w:rsidR="00725510" w:rsidRPr="000C326B">
        <w:rPr>
          <w:b/>
          <w:color w:val="FF0000"/>
          <w:highlight w:val="yellow"/>
        </w:rPr>
        <w:t>10</w:t>
      </w:r>
      <w:r>
        <w:rPr>
          <w:color w:val="000000"/>
        </w:rPr>
        <w:t>, o powierzchni ok.</w:t>
      </w:r>
      <w:r w:rsidRPr="001924AD">
        <w:rPr>
          <w:strike/>
          <w:color w:val="FF0000"/>
          <w:highlight w:val="yellow"/>
        </w:rPr>
        <w:t>47</w:t>
      </w:r>
      <w:r w:rsidR="001924AD" w:rsidRPr="001924AD">
        <w:rPr>
          <w:b/>
          <w:color w:val="FF0000"/>
          <w:highlight w:val="yellow"/>
        </w:rPr>
        <w:t>54,8</w:t>
      </w:r>
      <w:r>
        <w:rPr>
          <w:color w:val="000000"/>
        </w:rPr>
        <w:t xml:space="preserve"> ha, przeznacza się:</w:t>
      </w:r>
    </w:p>
    <w:p w:rsidR="008A02AC" w:rsidRDefault="003B613A">
      <w:pPr>
        <w:spacing w:after="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na eksploatację kruszywa naturalnego.</w:t>
      </w:r>
    </w:p>
    <w:p w:rsidR="008A02AC" w:rsidRDefault="003B613A">
      <w:pPr>
        <w:spacing w:after="0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rekultywację po eksploatacji złoża kruszywa naturalnego na cele zbiorników wodnych, w tym z hodowlą ryb oraz rekreacji.</w:t>
      </w:r>
    </w:p>
    <w:p w:rsidR="008A02AC" w:rsidRDefault="003B613A">
      <w:pPr>
        <w:spacing w:before="26" w:after="0"/>
      </w:pPr>
      <w:r>
        <w:rPr>
          <w:color w:val="000000"/>
        </w:rPr>
        <w:t>2.  Po wykonaniu rekultywacji terenów, po działalności górniczej, dopuszcza się lokalizację:</w:t>
      </w:r>
    </w:p>
    <w:p w:rsidR="008A02AC" w:rsidRDefault="003B613A">
      <w:pPr>
        <w:spacing w:after="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zabudowy rekreacyjnej na terenie oznaczonym symbolem PE3,</w:t>
      </w:r>
    </w:p>
    <w:p w:rsidR="008A02AC" w:rsidRDefault="003B613A">
      <w:pPr>
        <w:spacing w:after="0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ścieżek rowerowych i turystycznych.</w:t>
      </w:r>
    </w:p>
    <w:p w:rsidR="008A02AC" w:rsidRDefault="003B613A">
      <w:pPr>
        <w:spacing w:before="26" w:after="0"/>
      </w:pPr>
      <w:r>
        <w:rPr>
          <w:color w:val="000000"/>
        </w:rPr>
        <w:lastRenderedPageBreak/>
        <w:t>3.  Przy prowadzeniu eksploatacji złoża kruszywa naturalnego: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dopuszcza się: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składowanie kruszywa oraz mas ziemnych,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lokalizowanie tymczasowych obiektów i urządzeń związanych z eksploatacją złoża,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przetwarzanie surowców powstałych w trakcie eksploatacji,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) lokalizację tymczasowych obiektów kubaturowych, zaplecza socjalnego i biurowego,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) przeprowadzenie dojazdów i dokonywanie utwardzenia terenu dla potrzeb transportu kruszywa,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nakazuje się: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prowadzenie eksploatacji w sposób gwarantujący ochronę wód powierzchniowych i podziemnych przed zanieczyszczeniem,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gromadzenie odpadów powstających wskutek prowadzonej działalności i ich magazynowanie wraz z wywozem w sposób niedopuszczający do zanieczyszczeń gruntu i wód podziemnych,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3) zakazuje się składowania humusu, nakładu i urobku w zasięgu filara ochronnego od rzeki Wisłok i w obszarze starorzecza</w:t>
      </w:r>
      <w:r w:rsidR="00725510">
        <w:rPr>
          <w:color w:val="000000"/>
        </w:rPr>
        <w:t xml:space="preserve"> </w:t>
      </w:r>
      <w:r>
        <w:rPr>
          <w:color w:val="000000"/>
        </w:rPr>
        <w:t>oraz na terenach leśnych,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4) masy ziemne przemieszczane przy udostępnianiu złoża wykorzystać do celów rekultywacji terenów poeksploatacyjnych, w tym: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wykonania grobli,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kształtowania nabrzeży i dna zbiorników wodnych,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odbudowy po eksploatacji do poziomu pierwotnych rzędnych terenów położonych w obszarze szczególnego zagrożenia powodzią,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5) dopuszczone tymczasowe zagospodarowanie terenu dla potrzeb eksploatacji złoża obiektami kubaturowymi i urządzeniami technologicznymi, przy ich sytuowaniu poza terenami starorzecza oraz poza filarem ochronnym od rzeki Wisłok.</w:t>
      </w:r>
    </w:p>
    <w:p w:rsidR="008A02AC" w:rsidRDefault="003B613A">
      <w:pPr>
        <w:spacing w:before="26" w:after="0"/>
      </w:pPr>
      <w:r>
        <w:rPr>
          <w:color w:val="000000"/>
        </w:rPr>
        <w:t>5.  Przy realizacji zabudowy rekreacyjnej, wymagane zachowanie warunków: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sytuowanie zabudowy powyżej poziomu terenu narażonego na szczególne zagrożenie powodzią, tj. Q 1% i Q 5%,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wykonanie jednego obiektu kubaturowego na jednej działce, wraz z zachowaniem parametrów: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wysokość max. dwie kondygnacje nadziemne + poddasze użytkowe, tj. do 9m n.p.t.,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dachy dwuspadowe lub wielospadowe o spadku od 28° do 45°, w kolorze ceramiki budowlanej ze ścianami zewnętrznymi w kolorach naturalnych materiałów budowlanych,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3) nieprzekraczalna linia zabudowy, jak nieprzekraczalna linii eksploatacji złóż kruszywa, zgodnie z rysunkiem planu,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4) pas terenu pomiędzy linią rozgraniczającą ciąg pieszo-rowerowy, a nieprzekraczalną linią zabudowy zagospodarować na cele zieleni oraz przeprowadzenie infrastruktury technicznej i dojazdy na teren nieruchomości,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5) przy wydzielaniu terenu działki rekreacyjnej powierzchnia terenu działki nie mniejsza niż 0,01 ha, a kąt położenia granicy działki w stosunku do ciągu pieszo-rowerowego od 30° do 180°,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6) przy zagospodarowaniu terenu zachować warunki: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powierzchnia zabudowy do 50%, powierzchni działki w tym intensywność zabudowy od 0,01 do 0,07,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g</w:t>
      </w:r>
      <w:proofErr w:type="gramEnd"/>
      <w:r>
        <w:rPr>
          <w:color w:val="000000"/>
        </w:rPr>
        <w:t>) powierzchnia biologicznie czynna minimum 20% powierzchni terenu działki,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>) ogrodzenie terenu żywopłotem lub ażurowe o wys. do 1,8 m n.p.t.,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) wymagane zapewnienie min. 1 miejsca postojowego na każde 30m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użytkowej obiektu,</w:t>
      </w:r>
    </w:p>
    <w:p w:rsidR="008A02AC" w:rsidRDefault="003B613A">
      <w:pPr>
        <w:spacing w:after="0"/>
        <w:ind w:left="746"/>
      </w:pPr>
      <w:proofErr w:type="gramStart"/>
      <w:r>
        <w:rPr>
          <w:color w:val="000000"/>
        </w:rPr>
        <w:t>j</w:t>
      </w:r>
      <w:proofErr w:type="gramEnd"/>
      <w:r>
        <w:rPr>
          <w:color w:val="000000"/>
        </w:rPr>
        <w:t xml:space="preserve">) dojazd indywidualny z drogi publicznej, gminnej (poza granicami planu), poprzez teren ciągu </w:t>
      </w:r>
      <w:proofErr w:type="spellStart"/>
      <w:r>
        <w:rPr>
          <w:color w:val="000000"/>
        </w:rPr>
        <w:t>pieszorowerowego</w:t>
      </w:r>
      <w:proofErr w:type="spellEnd"/>
      <w:r>
        <w:rPr>
          <w:color w:val="000000"/>
        </w:rPr>
        <w:t xml:space="preserve"> KX7, dopuszczonego do przekształcenia na ciąg pieszo-jezdny.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8.  </w:t>
      </w:r>
    </w:p>
    <w:p w:rsidR="008A02AC" w:rsidRDefault="003B613A">
      <w:pPr>
        <w:spacing w:before="26" w:after="0"/>
      </w:pPr>
      <w:r>
        <w:rPr>
          <w:color w:val="000000"/>
        </w:rPr>
        <w:t xml:space="preserve">1.  Tereny oznaczone symbolem </w:t>
      </w:r>
      <w:r>
        <w:rPr>
          <w:b/>
          <w:color w:val="000000"/>
        </w:rPr>
        <w:t xml:space="preserve">KX1 - KX7 </w:t>
      </w:r>
      <w:r>
        <w:rPr>
          <w:color w:val="000000"/>
        </w:rPr>
        <w:t xml:space="preserve">o łącznej powierzchni w granicach planu ok. 2 ha </w:t>
      </w:r>
      <w:proofErr w:type="gramStart"/>
      <w:r>
        <w:rPr>
          <w:color w:val="000000"/>
        </w:rPr>
        <w:t>zagospodarować jako</w:t>
      </w:r>
      <w:proofErr w:type="gramEnd"/>
      <w:r>
        <w:rPr>
          <w:color w:val="000000"/>
        </w:rPr>
        <w:t xml:space="preserve"> ciągi pieszo-rowerowe.</w:t>
      </w:r>
    </w:p>
    <w:p w:rsidR="008A02AC" w:rsidRDefault="003B613A">
      <w:pPr>
        <w:spacing w:before="26" w:after="0"/>
      </w:pPr>
      <w:r>
        <w:rPr>
          <w:color w:val="000000"/>
        </w:rPr>
        <w:t>2.  Ustala się szerokość ciągu pieszo-rowerowego w liniach rozgraniczających od 2,5m do 5,5m, jak oznaczono na rysunku planu.</w:t>
      </w:r>
    </w:p>
    <w:p w:rsidR="008A02AC" w:rsidRDefault="003B613A">
      <w:pPr>
        <w:spacing w:before="26" w:after="0"/>
      </w:pPr>
      <w:r>
        <w:rPr>
          <w:color w:val="000000"/>
        </w:rPr>
        <w:t>3.  Dopuszcza się: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przekształcenie ciągu pieszo-rowerowego KX7 na ciąg pieszo-jezdny o szerokości min. 5m,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realizację na terenie ciągu pieszo-jezdnego sieci infrastruktury technicznej, dojazdu do nieruchomości i oświetlenia terenu.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9.  </w:t>
      </w:r>
    </w:p>
    <w:p w:rsidR="008A02AC" w:rsidRDefault="003B613A">
      <w:pPr>
        <w:spacing w:before="26" w:after="0"/>
      </w:pPr>
      <w:r>
        <w:rPr>
          <w:color w:val="000000"/>
        </w:rPr>
        <w:lastRenderedPageBreak/>
        <w:t xml:space="preserve">1.  Tereny oznaczone symbolem </w:t>
      </w:r>
      <w:r>
        <w:rPr>
          <w:b/>
          <w:color w:val="000000"/>
        </w:rPr>
        <w:t xml:space="preserve">R1- R5 </w:t>
      </w:r>
      <w:r>
        <w:rPr>
          <w:color w:val="000000"/>
        </w:rPr>
        <w:t>o łącznej powierzchni w granicach planu ok.</w:t>
      </w:r>
      <w:r w:rsidRPr="001924AD">
        <w:rPr>
          <w:strike/>
          <w:color w:val="FF0000"/>
          <w:highlight w:val="yellow"/>
        </w:rPr>
        <w:t>18</w:t>
      </w:r>
      <w:r w:rsidR="001924AD" w:rsidRPr="001924AD">
        <w:rPr>
          <w:b/>
          <w:color w:val="FF0000"/>
          <w:highlight w:val="yellow"/>
        </w:rPr>
        <w:t>12,1</w:t>
      </w:r>
      <w:r>
        <w:rPr>
          <w:color w:val="000000"/>
        </w:rPr>
        <w:t xml:space="preserve"> ha, utrzymuje </w:t>
      </w:r>
      <w:proofErr w:type="gramStart"/>
      <w:r>
        <w:rPr>
          <w:color w:val="000000"/>
        </w:rPr>
        <w:t>się jako</w:t>
      </w:r>
      <w:proofErr w:type="gramEnd"/>
      <w:r>
        <w:rPr>
          <w:color w:val="000000"/>
        </w:rPr>
        <w:t xml:space="preserve"> tereny rolnicze.</w:t>
      </w:r>
    </w:p>
    <w:p w:rsidR="008A02AC" w:rsidRDefault="003B613A">
      <w:pPr>
        <w:spacing w:before="26" w:after="0"/>
      </w:pPr>
      <w:r>
        <w:rPr>
          <w:color w:val="000000"/>
        </w:rPr>
        <w:t>2.  Ustala się zasady zagospodarowania terenu: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nie dopuszcza się realizacji zabudowy z wyjątkiem realizacji infrastruktury technicznej i dojazdów do pól,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dostępność terenu z drogi gminnej (poza granicami planu), drogami gruntowymi i dojazdami indywidualnymi do nieruchomości.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10.  </w:t>
      </w:r>
    </w:p>
    <w:p w:rsidR="008A02AC" w:rsidRDefault="003B613A">
      <w:pPr>
        <w:spacing w:before="26" w:after="0"/>
      </w:pPr>
      <w:r>
        <w:rPr>
          <w:color w:val="000000"/>
        </w:rPr>
        <w:t xml:space="preserve">1.  Tereny oznaczone symbolem </w:t>
      </w:r>
      <w:r>
        <w:rPr>
          <w:b/>
          <w:color w:val="000000"/>
        </w:rPr>
        <w:t xml:space="preserve">LS1, LS2 </w:t>
      </w:r>
      <w:r>
        <w:rPr>
          <w:color w:val="000000"/>
        </w:rPr>
        <w:t xml:space="preserve">o powierzchni w granicach planu ok. 3 ha, utrzymuje </w:t>
      </w:r>
      <w:proofErr w:type="gramStart"/>
      <w:r>
        <w:rPr>
          <w:color w:val="000000"/>
        </w:rPr>
        <w:t>się jako</w:t>
      </w:r>
      <w:proofErr w:type="gramEnd"/>
      <w:r>
        <w:rPr>
          <w:color w:val="000000"/>
        </w:rPr>
        <w:t xml:space="preserve"> tereny leśne.</w:t>
      </w:r>
    </w:p>
    <w:p w:rsidR="008A02AC" w:rsidRDefault="003B613A">
      <w:pPr>
        <w:spacing w:before="26" w:after="0"/>
      </w:pPr>
      <w:r>
        <w:rPr>
          <w:color w:val="000000"/>
        </w:rPr>
        <w:t>2.  Na terenach leśnych zakazuje się: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składowania humusu, nakładu i urobku,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sytuowania obiektów kubaturowych i urządzeń technologicznych dla potrzeb eksploatacji złoża.</w:t>
      </w:r>
    </w:p>
    <w:p w:rsidR="008A02AC" w:rsidRDefault="003B613A">
      <w:pPr>
        <w:spacing w:before="26" w:after="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Teren oznaczony symbolem </w:t>
      </w:r>
      <w:r>
        <w:rPr>
          <w:b/>
          <w:color w:val="000000"/>
        </w:rPr>
        <w:t xml:space="preserve">WS1 </w:t>
      </w:r>
      <w:r>
        <w:rPr>
          <w:color w:val="000000"/>
        </w:rPr>
        <w:t xml:space="preserve">o powierzchni w granicach planu ok. </w:t>
      </w:r>
      <w:r w:rsidRPr="00725510">
        <w:rPr>
          <w:strike/>
          <w:color w:val="FF0000"/>
          <w:highlight w:val="yellow"/>
        </w:rPr>
        <w:t>7,4</w:t>
      </w:r>
      <w:r w:rsidR="00725510">
        <w:rPr>
          <w:strike/>
          <w:color w:val="FF0000"/>
        </w:rPr>
        <w:t xml:space="preserve"> </w:t>
      </w:r>
      <w:r w:rsidR="001924AD" w:rsidRPr="001924AD">
        <w:rPr>
          <w:b/>
          <w:color w:val="FF0000"/>
          <w:highlight w:val="yellow"/>
        </w:rPr>
        <w:t>5,5</w:t>
      </w:r>
      <w:r w:rsidRPr="00725510">
        <w:rPr>
          <w:b/>
          <w:color w:val="000000"/>
        </w:rPr>
        <w:t xml:space="preserve"> </w:t>
      </w:r>
      <w:r>
        <w:rPr>
          <w:color w:val="000000"/>
        </w:rPr>
        <w:t xml:space="preserve">ha utrzymuje </w:t>
      </w:r>
      <w:proofErr w:type="gramStart"/>
      <w:r>
        <w:rPr>
          <w:color w:val="000000"/>
        </w:rPr>
        <w:t>się jako</w:t>
      </w:r>
      <w:proofErr w:type="gramEnd"/>
      <w:r>
        <w:rPr>
          <w:color w:val="000000"/>
        </w:rPr>
        <w:t xml:space="preserve"> teren wód powierzchniowych - starorzecza, w tym: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1) zakazuje się zabudowy terenu starorzecza,</w:t>
      </w:r>
    </w:p>
    <w:p w:rsidR="008A02AC" w:rsidRDefault="003B613A">
      <w:pPr>
        <w:spacing w:before="26" w:after="0"/>
        <w:ind w:left="373"/>
      </w:pPr>
      <w:r>
        <w:rPr>
          <w:color w:val="000000"/>
        </w:rPr>
        <w:t>2) nakazuje się utrzymanie naturalnego uksztaltowania terenu i terenów zieleni.</w:t>
      </w:r>
    </w:p>
    <w:p w:rsidR="008A02AC" w:rsidRDefault="008A02AC">
      <w:pPr>
        <w:spacing w:after="0"/>
      </w:pPr>
    </w:p>
    <w:p w:rsidR="008A02AC" w:rsidRDefault="003B613A">
      <w:pPr>
        <w:spacing w:before="146" w:after="0"/>
        <w:jc w:val="center"/>
      </w:pPr>
      <w:r>
        <w:rPr>
          <w:b/>
          <w:color w:val="000000"/>
        </w:rPr>
        <w:t xml:space="preserve">Rozdział  3. </w:t>
      </w:r>
    </w:p>
    <w:p w:rsidR="008A02AC" w:rsidRDefault="003B613A">
      <w:pPr>
        <w:spacing w:before="25" w:after="0"/>
        <w:jc w:val="center"/>
      </w:pPr>
      <w:r>
        <w:rPr>
          <w:b/>
          <w:color w:val="000000"/>
        </w:rPr>
        <w:t>Przepisy końcowe.</w:t>
      </w:r>
    </w:p>
    <w:p w:rsidR="008A02AC" w:rsidRDefault="003B613A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Wykonanie uchwały powierza się Wójtowi Gminy Tryńcza.</w:t>
      </w:r>
    </w:p>
    <w:p w:rsidR="008A02AC" w:rsidRDefault="003B613A">
      <w:pPr>
        <w:spacing w:before="26" w:after="240"/>
      </w:pPr>
      <w:r>
        <w:rPr>
          <w:b/>
          <w:color w:val="000000"/>
        </w:rPr>
        <w:t xml:space="preserve">§  13.  </w:t>
      </w:r>
      <w:r>
        <w:rPr>
          <w:color w:val="000000"/>
        </w:rPr>
        <w:t>Uchwała podlega ogłoszeniu w Dzienniku Urzędowym Województwa Podkarpackiego i wchodzi w życie po upływie 14 dni od dnia jej ogłoszenia.</w:t>
      </w:r>
    </w:p>
    <w:p w:rsidR="008A02AC" w:rsidRDefault="008A02AC">
      <w:pPr>
        <w:spacing w:after="0"/>
      </w:pPr>
    </w:p>
    <w:p w:rsidR="008A02AC" w:rsidRDefault="003B613A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8A02AC" w:rsidRDefault="003B613A">
      <w:pPr>
        <w:spacing w:before="25" w:after="0"/>
        <w:jc w:val="center"/>
      </w:pPr>
      <w:r>
        <w:rPr>
          <w:b/>
          <w:color w:val="000000"/>
        </w:rPr>
        <w:t>MAPA</w:t>
      </w:r>
    </w:p>
    <w:p w:rsidR="008A02AC" w:rsidRDefault="003B613A">
      <w:pPr>
        <w:spacing w:after="0"/>
      </w:pPr>
      <w:proofErr w:type="gramStart"/>
      <w:r>
        <w:rPr>
          <w:color w:val="1B1B1B"/>
        </w:rPr>
        <w:t>grafika</w:t>
      </w:r>
      <w:proofErr w:type="gramEnd"/>
    </w:p>
    <w:p w:rsidR="008A02AC" w:rsidRDefault="008A02AC">
      <w:pPr>
        <w:spacing w:after="0"/>
      </w:pPr>
    </w:p>
    <w:p w:rsidR="008A02AC" w:rsidRDefault="003B613A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8A02AC" w:rsidRDefault="003B613A">
      <w:pPr>
        <w:spacing w:before="25" w:after="0"/>
        <w:jc w:val="center"/>
      </w:pPr>
      <w:r>
        <w:rPr>
          <w:b/>
          <w:color w:val="000000"/>
        </w:rPr>
        <w:t>OKREŚLENIE SPOSOBU REALIZACJI INWESTYCJI Z ZAKRESU INFRASTRUKTURY TECHNICZNEJ NALEŻĄCYCH DO ZADAŃ GMINY ORAZ ZASAD ICH FINANSOWANIA</w:t>
      </w:r>
    </w:p>
    <w:p w:rsidR="008A02AC" w:rsidRDefault="003B613A">
      <w:pPr>
        <w:spacing w:after="0"/>
      </w:pPr>
      <w:r>
        <w:rPr>
          <w:color w:val="000000"/>
        </w:rPr>
        <w:t xml:space="preserve">Stosownie do </w:t>
      </w:r>
      <w:r>
        <w:rPr>
          <w:color w:val="1B1B1B"/>
        </w:rPr>
        <w:t>art. 20 ust. 1</w:t>
      </w:r>
      <w:r>
        <w:rPr>
          <w:color w:val="000000"/>
        </w:rPr>
        <w:t xml:space="preserve"> ustawy z dnia 27 marca 2003 r. o planowaniu i zagospodarowaniu przestrzennym (tekst jedn.: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2017 r. poz. 1073 z późn.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.), uwzględniając ustalenia zawarte w miejscowym planie zagospodarowania przestrzennego Nr 30/11 "Gniewczyna Łańcucka I" w Gminie Tryńcza, Rada Gminy Tryńcza stwierdza, że do zadań własnych gminy należeć będzie rozbudowa sieci kanalizacyjnej i wodociągowej i udział w wykonaniu ścieżek pieszo-rowerowych.</w:t>
      </w:r>
    </w:p>
    <w:p w:rsidR="008A02AC" w:rsidRDefault="003B613A">
      <w:pPr>
        <w:spacing w:before="25" w:after="0"/>
        <w:jc w:val="both"/>
      </w:pPr>
      <w:r>
        <w:rPr>
          <w:color w:val="000000"/>
        </w:rPr>
        <w:t>Wyżej wymienione inwestycje celu publicznego, w tym z zakresu infrastruktury technicznej realizowane będą ze środków własnych gminy z udziałem inwestora oraz ze środków pomocowych, zgodnie z planem wydatków inwestycyjnych przyjętych w planie wieloletnim określanym w uchwale budżetowej Gminy Tryńcza.</w:t>
      </w:r>
    </w:p>
    <w:sectPr w:rsidR="008A02A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2C0E"/>
    <w:multiLevelType w:val="multilevel"/>
    <w:tmpl w:val="A3DA92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C"/>
    <w:rsid w:val="000C326B"/>
    <w:rsid w:val="001924AD"/>
    <w:rsid w:val="003B613A"/>
    <w:rsid w:val="00425570"/>
    <w:rsid w:val="00513643"/>
    <w:rsid w:val="00577650"/>
    <w:rsid w:val="00725510"/>
    <w:rsid w:val="00744D97"/>
    <w:rsid w:val="007A5586"/>
    <w:rsid w:val="008A02AC"/>
    <w:rsid w:val="00AB5742"/>
    <w:rsid w:val="00BC27A3"/>
    <w:rsid w:val="00C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ahoma" w:eastAsia="Tahoma" w:hAnsi="Tahoma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DocDefaults">
    <w:name w:val="DocDefaults"/>
  </w:style>
  <w:style w:type="character" w:styleId="Odwoaniedokomentarza">
    <w:name w:val="annotation reference"/>
    <w:basedOn w:val="Domylnaczcionkaakapitu"/>
    <w:uiPriority w:val="99"/>
    <w:semiHidden/>
    <w:unhideWhenUsed/>
    <w:rsid w:val="00725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10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10"/>
    <w:rPr>
      <w:rFonts w:ascii="Tahoma" w:eastAsia="Tahoma" w:hAnsi="Tahoma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1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10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ahoma" w:eastAsia="Tahoma" w:hAnsi="Tahoma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ahoma" w:eastAsia="Tahoma" w:hAnsi="Tahoma" w:cs="Tahom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ahoma" w:eastAsia="Tahoma" w:hAnsi="Tahoma" w:cs="Tahom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ahoma" w:eastAsia="Tahoma" w:hAnsi="Tahoma" w:cs="Tahoma"/>
      <w:b/>
      <w:color w:val="000000" w:themeColor="text1"/>
    </w:rPr>
  </w:style>
  <w:style w:type="paragraph" w:customStyle="1" w:styleId="DocDefaults">
    <w:name w:val="DocDefaults"/>
  </w:style>
  <w:style w:type="character" w:styleId="Odwoaniedokomentarza">
    <w:name w:val="annotation reference"/>
    <w:basedOn w:val="Domylnaczcionkaakapitu"/>
    <w:uiPriority w:val="99"/>
    <w:semiHidden/>
    <w:unhideWhenUsed/>
    <w:rsid w:val="00725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10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10"/>
    <w:rPr>
      <w:rFonts w:ascii="Tahoma" w:eastAsia="Tahoma" w:hAnsi="Tahoma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1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1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</dc:creator>
  <cp:lastModifiedBy>Małgorzata Przybysz-Ławnicka</cp:lastModifiedBy>
  <cp:revision>3</cp:revision>
  <dcterms:created xsi:type="dcterms:W3CDTF">2020-03-18T00:02:00Z</dcterms:created>
  <dcterms:modified xsi:type="dcterms:W3CDTF">2020-12-09T22:15:00Z</dcterms:modified>
</cp:coreProperties>
</file>