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BFB" w:rsidRDefault="00B22BFB" w:rsidP="00B22BFB">
      <w:pPr>
        <w:spacing w:line="240" w:lineRule="auto"/>
        <w:jc w:val="center"/>
        <w:rPr>
          <w:b/>
          <w:sz w:val="40"/>
          <w:szCs w:val="40"/>
        </w:rPr>
      </w:pPr>
      <w:r>
        <w:rPr>
          <w:b/>
          <w:sz w:val="40"/>
          <w:szCs w:val="40"/>
        </w:rPr>
        <w:t>OGŁOSZENIE</w:t>
      </w:r>
    </w:p>
    <w:p w:rsidR="00B22BFB" w:rsidRDefault="00B22BFB" w:rsidP="00B22BFB">
      <w:pPr>
        <w:spacing w:after="120" w:line="240" w:lineRule="auto"/>
        <w:jc w:val="center"/>
        <w:rPr>
          <w:b/>
        </w:rPr>
      </w:pPr>
      <w:r>
        <w:rPr>
          <w:b/>
        </w:rPr>
        <w:t>Wójt Gminy Tryńcza podaje do publicznej wiadomości, że ogłasza ustny nieograniczony przetarg na sprzedaż nieruchomości stanowiących własność Gminy Tryńcza po</w:t>
      </w:r>
      <w:r w:rsidR="006251FB">
        <w:rPr>
          <w:b/>
        </w:rPr>
        <w:t xml:space="preserve">łożonych w </w:t>
      </w:r>
      <w:r w:rsidR="00C75B62">
        <w:rPr>
          <w:b/>
        </w:rPr>
        <w:t>miejscowości Wólka Ogryzkowa</w:t>
      </w:r>
    </w:p>
    <w:p w:rsidR="00B22BFB" w:rsidRDefault="00B22BFB" w:rsidP="00B22BFB">
      <w:pPr>
        <w:spacing w:line="240" w:lineRule="auto"/>
        <w:jc w:val="both"/>
      </w:pPr>
      <w:r>
        <w:t>Na podstawie art. 38 ust. 1 z dnia 21 sierpnia 1997 r. o gospodarce nieruchomościami (</w:t>
      </w:r>
      <w:r w:rsidR="00FD5908">
        <w:t xml:space="preserve">tekst jednolity Dz. U. z 2024 </w:t>
      </w:r>
      <w:r w:rsidR="00A33E4B">
        <w:t>r</w:t>
      </w:r>
      <w:r w:rsidR="00FD5908">
        <w:t>., poz. 1145</w:t>
      </w:r>
      <w:r w:rsidR="00A33E4B">
        <w:t xml:space="preserve"> z </w:t>
      </w:r>
      <w:proofErr w:type="spellStart"/>
      <w:r w:rsidR="00A33E4B">
        <w:t>póź</w:t>
      </w:r>
      <w:proofErr w:type="spellEnd"/>
      <w:r w:rsidR="00A33E4B">
        <w:t>. zm.</w:t>
      </w:r>
      <w:r>
        <w:t>) oraz §3 ust.1, §6 ust. 1 i §13 Rozporządzenia Rady Ministrów z dnia 14 września 2004r. w sprawie sposobu i trybu p</w:t>
      </w:r>
      <w:r w:rsidR="0093596A">
        <w:t xml:space="preserve">rzeprowadzania przetargów oraz </w:t>
      </w:r>
      <w:r>
        <w:t xml:space="preserve"> Zarządzenia  Nr 29/2015  Wójta Gminy Tryńcza z dnia 27 października 2015r</w:t>
      </w:r>
      <w:r w:rsidR="003A0F7B">
        <w:t>.</w:t>
      </w:r>
      <w:r>
        <w:t xml:space="preserve"> - Wójt Gminy Tryńcza ogłasza publiczny ustny nieograniczony przetarg na sprzedaż następującej nieruchomości:</w:t>
      </w:r>
    </w:p>
    <w:tbl>
      <w:tblPr>
        <w:tblStyle w:val="Tabela-Siatka"/>
        <w:tblW w:w="0" w:type="auto"/>
        <w:tblLook w:val="04A0" w:firstRow="1" w:lastRow="0" w:firstColumn="1" w:lastColumn="0" w:noHBand="0" w:noVBand="1"/>
      </w:tblPr>
      <w:tblGrid>
        <w:gridCol w:w="1885"/>
        <w:gridCol w:w="1305"/>
        <w:gridCol w:w="1407"/>
        <w:gridCol w:w="5057"/>
        <w:gridCol w:w="2528"/>
        <w:gridCol w:w="1810"/>
      </w:tblGrid>
      <w:tr w:rsidR="00B22BFB" w:rsidTr="00C75B62">
        <w:tc>
          <w:tcPr>
            <w:tcW w:w="1885" w:type="dxa"/>
            <w:tcBorders>
              <w:top w:val="single" w:sz="4" w:space="0" w:color="auto"/>
              <w:left w:val="single" w:sz="4" w:space="0" w:color="auto"/>
              <w:bottom w:val="single" w:sz="4" w:space="0" w:color="auto"/>
              <w:right w:val="single" w:sz="4" w:space="0" w:color="auto"/>
            </w:tcBorders>
            <w:vAlign w:val="center"/>
            <w:hideMark/>
          </w:tcPr>
          <w:p w:rsidR="00B22BFB" w:rsidRDefault="00B22BFB" w:rsidP="00AC2B3F">
            <w:pPr>
              <w:jc w:val="center"/>
            </w:pPr>
            <w:r>
              <w:t xml:space="preserve">                                                                                                                                                                                                                Nr KW</w:t>
            </w:r>
          </w:p>
        </w:tc>
        <w:tc>
          <w:tcPr>
            <w:tcW w:w="1305" w:type="dxa"/>
            <w:tcBorders>
              <w:top w:val="single" w:sz="4" w:space="0" w:color="auto"/>
              <w:left w:val="single" w:sz="4" w:space="0" w:color="auto"/>
              <w:bottom w:val="single" w:sz="4" w:space="0" w:color="auto"/>
              <w:right w:val="single" w:sz="4" w:space="0" w:color="auto"/>
            </w:tcBorders>
            <w:vAlign w:val="center"/>
            <w:hideMark/>
          </w:tcPr>
          <w:p w:rsidR="00B22BFB" w:rsidRDefault="00B22BFB" w:rsidP="00AC2B3F">
            <w:pPr>
              <w:jc w:val="center"/>
            </w:pPr>
            <w:r>
              <w:t xml:space="preserve">Nr działki </w:t>
            </w:r>
          </w:p>
          <w:p w:rsidR="00B22BFB" w:rsidRDefault="00B22BFB" w:rsidP="00AC2B3F">
            <w:pPr>
              <w:jc w:val="center"/>
            </w:pPr>
            <w:r>
              <w:t>Obręb</w:t>
            </w:r>
          </w:p>
        </w:tc>
        <w:tc>
          <w:tcPr>
            <w:tcW w:w="1407" w:type="dxa"/>
            <w:tcBorders>
              <w:top w:val="single" w:sz="4" w:space="0" w:color="auto"/>
              <w:left w:val="single" w:sz="4" w:space="0" w:color="auto"/>
              <w:bottom w:val="single" w:sz="4" w:space="0" w:color="auto"/>
              <w:right w:val="single" w:sz="4" w:space="0" w:color="auto"/>
            </w:tcBorders>
            <w:vAlign w:val="center"/>
            <w:hideMark/>
          </w:tcPr>
          <w:p w:rsidR="00B22BFB" w:rsidRDefault="00B22BFB" w:rsidP="00AC2B3F">
            <w:pPr>
              <w:jc w:val="center"/>
            </w:pPr>
            <w:r>
              <w:t xml:space="preserve">Powierzchnia </w:t>
            </w:r>
          </w:p>
          <w:p w:rsidR="00B22BFB" w:rsidRDefault="00B22BFB" w:rsidP="00AC2B3F">
            <w:pPr>
              <w:jc w:val="center"/>
            </w:pPr>
            <w:r>
              <w:t>(ha)</w:t>
            </w:r>
          </w:p>
        </w:tc>
        <w:tc>
          <w:tcPr>
            <w:tcW w:w="5057" w:type="dxa"/>
            <w:tcBorders>
              <w:top w:val="single" w:sz="4" w:space="0" w:color="auto"/>
              <w:left w:val="single" w:sz="4" w:space="0" w:color="auto"/>
              <w:bottom w:val="single" w:sz="4" w:space="0" w:color="auto"/>
              <w:right w:val="single" w:sz="4" w:space="0" w:color="auto"/>
            </w:tcBorders>
            <w:vAlign w:val="center"/>
            <w:hideMark/>
          </w:tcPr>
          <w:p w:rsidR="00B22BFB" w:rsidRDefault="00B22BFB" w:rsidP="00AC2B3F">
            <w:pPr>
              <w:jc w:val="center"/>
            </w:pPr>
            <w:r>
              <w:t xml:space="preserve">Opis nieruchomości </w:t>
            </w:r>
          </w:p>
        </w:tc>
        <w:tc>
          <w:tcPr>
            <w:tcW w:w="2528" w:type="dxa"/>
            <w:tcBorders>
              <w:top w:val="single" w:sz="4" w:space="0" w:color="auto"/>
              <w:left w:val="single" w:sz="4" w:space="0" w:color="auto"/>
              <w:bottom w:val="single" w:sz="4" w:space="0" w:color="auto"/>
              <w:right w:val="single" w:sz="4" w:space="0" w:color="auto"/>
            </w:tcBorders>
            <w:vAlign w:val="center"/>
            <w:hideMark/>
          </w:tcPr>
          <w:p w:rsidR="00B22BFB" w:rsidRDefault="00B22BFB" w:rsidP="00AC2B3F">
            <w:pPr>
              <w:jc w:val="center"/>
            </w:pPr>
            <w:r>
              <w:t>Przeznaczenie nieruchomości  i sposób jej zagospodarowania  zgodnie z MPZP</w:t>
            </w:r>
          </w:p>
        </w:tc>
        <w:tc>
          <w:tcPr>
            <w:tcW w:w="1810" w:type="dxa"/>
            <w:tcBorders>
              <w:top w:val="single" w:sz="4" w:space="0" w:color="auto"/>
              <w:left w:val="single" w:sz="4" w:space="0" w:color="auto"/>
              <w:bottom w:val="single" w:sz="4" w:space="0" w:color="auto"/>
              <w:right w:val="single" w:sz="4" w:space="0" w:color="auto"/>
            </w:tcBorders>
            <w:vAlign w:val="center"/>
            <w:hideMark/>
          </w:tcPr>
          <w:p w:rsidR="00B22BFB" w:rsidRDefault="00B22BFB" w:rsidP="00AC2B3F">
            <w:pPr>
              <w:jc w:val="center"/>
            </w:pPr>
            <w:r>
              <w:t>Cena wywoławcza netto</w:t>
            </w:r>
          </w:p>
        </w:tc>
      </w:tr>
      <w:tr w:rsidR="00F80EA5" w:rsidTr="00C75B62">
        <w:tc>
          <w:tcPr>
            <w:tcW w:w="1885" w:type="dxa"/>
            <w:tcBorders>
              <w:top w:val="single" w:sz="4" w:space="0" w:color="auto"/>
              <w:left w:val="single" w:sz="4" w:space="0" w:color="auto"/>
              <w:bottom w:val="single" w:sz="4" w:space="0" w:color="auto"/>
              <w:right w:val="single" w:sz="4" w:space="0" w:color="auto"/>
            </w:tcBorders>
          </w:tcPr>
          <w:p w:rsidR="00F80EA5" w:rsidRPr="002C5308" w:rsidRDefault="00F80EA5" w:rsidP="00F80EA5">
            <w:pPr>
              <w:rPr>
                <w:b/>
              </w:rPr>
            </w:pPr>
            <w:r>
              <w:rPr>
                <w:b/>
              </w:rPr>
              <w:t>PR2R/00005468/1</w:t>
            </w:r>
          </w:p>
        </w:tc>
        <w:tc>
          <w:tcPr>
            <w:tcW w:w="1305" w:type="dxa"/>
            <w:tcBorders>
              <w:top w:val="single" w:sz="4" w:space="0" w:color="auto"/>
              <w:left w:val="single" w:sz="4" w:space="0" w:color="auto"/>
              <w:bottom w:val="single" w:sz="4" w:space="0" w:color="auto"/>
              <w:right w:val="single" w:sz="4" w:space="0" w:color="auto"/>
            </w:tcBorders>
          </w:tcPr>
          <w:p w:rsidR="00F80EA5" w:rsidRDefault="00F80EA5" w:rsidP="00F80EA5">
            <w:pPr>
              <w:rPr>
                <w:b/>
              </w:rPr>
            </w:pPr>
            <w:r>
              <w:rPr>
                <w:b/>
              </w:rPr>
              <w:t>302/19</w:t>
            </w:r>
          </w:p>
          <w:p w:rsidR="00F80EA5" w:rsidRDefault="00F80EA5" w:rsidP="00F80EA5">
            <w:pPr>
              <w:rPr>
                <w:b/>
              </w:rPr>
            </w:pPr>
            <w:r>
              <w:rPr>
                <w:b/>
              </w:rPr>
              <w:t>302/23</w:t>
            </w:r>
          </w:p>
          <w:p w:rsidR="00F80EA5" w:rsidRDefault="00F80EA5" w:rsidP="00F80EA5">
            <w:pPr>
              <w:rPr>
                <w:b/>
              </w:rPr>
            </w:pPr>
            <w:r>
              <w:rPr>
                <w:b/>
              </w:rPr>
              <w:t>302/24</w:t>
            </w:r>
          </w:p>
          <w:p w:rsidR="00F80EA5" w:rsidRDefault="00F80EA5" w:rsidP="00F80EA5">
            <w:pPr>
              <w:rPr>
                <w:b/>
              </w:rPr>
            </w:pPr>
            <w:r>
              <w:rPr>
                <w:b/>
              </w:rPr>
              <w:t>302/25</w:t>
            </w:r>
          </w:p>
          <w:p w:rsidR="00F80EA5" w:rsidRDefault="00F80EA5" w:rsidP="00F80EA5">
            <w:pPr>
              <w:rPr>
                <w:b/>
              </w:rPr>
            </w:pPr>
            <w:r>
              <w:rPr>
                <w:b/>
              </w:rPr>
              <w:t>302/26</w:t>
            </w:r>
          </w:p>
          <w:p w:rsidR="00F80EA5" w:rsidRDefault="00F80EA5" w:rsidP="00F80EA5">
            <w:pPr>
              <w:rPr>
                <w:b/>
              </w:rPr>
            </w:pPr>
            <w:r>
              <w:rPr>
                <w:b/>
              </w:rPr>
              <w:t>302/28</w:t>
            </w:r>
          </w:p>
          <w:p w:rsidR="00F80EA5" w:rsidRDefault="00F80EA5" w:rsidP="00F80EA5">
            <w:pPr>
              <w:rPr>
                <w:b/>
              </w:rPr>
            </w:pPr>
            <w:r>
              <w:rPr>
                <w:b/>
              </w:rPr>
              <w:t>302/29</w:t>
            </w:r>
          </w:p>
          <w:p w:rsidR="00F80EA5" w:rsidRDefault="00F80EA5" w:rsidP="00F80EA5">
            <w:pPr>
              <w:rPr>
                <w:b/>
              </w:rPr>
            </w:pPr>
            <w:r>
              <w:rPr>
                <w:b/>
              </w:rPr>
              <w:t>302/30</w:t>
            </w:r>
          </w:p>
          <w:p w:rsidR="00F80EA5" w:rsidRDefault="00F80EA5" w:rsidP="00F80EA5">
            <w:pPr>
              <w:rPr>
                <w:b/>
              </w:rPr>
            </w:pPr>
            <w:r>
              <w:rPr>
                <w:b/>
              </w:rPr>
              <w:t>302/31</w:t>
            </w:r>
          </w:p>
          <w:p w:rsidR="00F80EA5" w:rsidRDefault="00F80EA5" w:rsidP="00F80EA5">
            <w:pPr>
              <w:rPr>
                <w:b/>
              </w:rPr>
            </w:pPr>
            <w:r>
              <w:rPr>
                <w:b/>
              </w:rPr>
              <w:t>302/36</w:t>
            </w:r>
          </w:p>
          <w:p w:rsidR="00F80EA5" w:rsidRDefault="00F80EA5" w:rsidP="00F80EA5">
            <w:pPr>
              <w:rPr>
                <w:b/>
              </w:rPr>
            </w:pPr>
            <w:r>
              <w:rPr>
                <w:b/>
              </w:rPr>
              <w:t>302/37</w:t>
            </w:r>
          </w:p>
          <w:p w:rsidR="00F80EA5" w:rsidRDefault="00F80EA5" w:rsidP="00F80EA5">
            <w:pPr>
              <w:rPr>
                <w:b/>
              </w:rPr>
            </w:pPr>
            <w:r>
              <w:rPr>
                <w:b/>
              </w:rPr>
              <w:t>Wólka</w:t>
            </w:r>
          </w:p>
          <w:p w:rsidR="00F80EA5" w:rsidRDefault="00F80EA5" w:rsidP="00F80EA5">
            <w:pPr>
              <w:rPr>
                <w:b/>
              </w:rPr>
            </w:pPr>
            <w:r>
              <w:rPr>
                <w:b/>
              </w:rPr>
              <w:t>Ogryzkowa</w:t>
            </w:r>
          </w:p>
        </w:tc>
        <w:tc>
          <w:tcPr>
            <w:tcW w:w="1407" w:type="dxa"/>
            <w:tcBorders>
              <w:top w:val="single" w:sz="4" w:space="0" w:color="auto"/>
              <w:left w:val="single" w:sz="4" w:space="0" w:color="auto"/>
              <w:bottom w:val="single" w:sz="4" w:space="0" w:color="auto"/>
              <w:right w:val="single" w:sz="4" w:space="0" w:color="auto"/>
            </w:tcBorders>
          </w:tcPr>
          <w:p w:rsidR="00F80EA5" w:rsidRDefault="00F80EA5" w:rsidP="00F80EA5">
            <w:pPr>
              <w:rPr>
                <w:b/>
              </w:rPr>
            </w:pPr>
            <w:r>
              <w:rPr>
                <w:b/>
              </w:rPr>
              <w:t xml:space="preserve">0,1048 </w:t>
            </w:r>
          </w:p>
          <w:p w:rsidR="00F80EA5" w:rsidRDefault="00F80EA5" w:rsidP="00F80EA5">
            <w:pPr>
              <w:rPr>
                <w:b/>
              </w:rPr>
            </w:pPr>
            <w:r>
              <w:rPr>
                <w:b/>
              </w:rPr>
              <w:t>0,2038</w:t>
            </w:r>
          </w:p>
          <w:p w:rsidR="00F80EA5" w:rsidRDefault="00F80EA5" w:rsidP="00F80EA5">
            <w:pPr>
              <w:rPr>
                <w:b/>
              </w:rPr>
            </w:pPr>
            <w:r>
              <w:rPr>
                <w:b/>
              </w:rPr>
              <w:t>0,1345</w:t>
            </w:r>
          </w:p>
          <w:p w:rsidR="00F80EA5" w:rsidRDefault="00F80EA5" w:rsidP="00F80EA5">
            <w:pPr>
              <w:rPr>
                <w:b/>
              </w:rPr>
            </w:pPr>
            <w:r>
              <w:rPr>
                <w:b/>
              </w:rPr>
              <w:t>0,1167</w:t>
            </w:r>
          </w:p>
          <w:p w:rsidR="00F80EA5" w:rsidRDefault="00F80EA5" w:rsidP="00F80EA5">
            <w:pPr>
              <w:rPr>
                <w:b/>
              </w:rPr>
            </w:pPr>
            <w:r>
              <w:rPr>
                <w:b/>
              </w:rPr>
              <w:t>0,1541</w:t>
            </w:r>
          </w:p>
          <w:p w:rsidR="00F80EA5" w:rsidRDefault="00F80EA5" w:rsidP="00F80EA5">
            <w:pPr>
              <w:rPr>
                <w:b/>
              </w:rPr>
            </w:pPr>
            <w:r>
              <w:rPr>
                <w:b/>
              </w:rPr>
              <w:t>0,2044</w:t>
            </w:r>
          </w:p>
          <w:p w:rsidR="00F80EA5" w:rsidRDefault="00F80EA5" w:rsidP="00F80EA5">
            <w:pPr>
              <w:rPr>
                <w:b/>
              </w:rPr>
            </w:pPr>
            <w:r>
              <w:rPr>
                <w:b/>
              </w:rPr>
              <w:t>0,1783</w:t>
            </w:r>
          </w:p>
          <w:p w:rsidR="00F80EA5" w:rsidRDefault="00F80EA5" w:rsidP="00F80EA5">
            <w:pPr>
              <w:rPr>
                <w:b/>
              </w:rPr>
            </w:pPr>
            <w:r>
              <w:rPr>
                <w:b/>
              </w:rPr>
              <w:t>0,1756</w:t>
            </w:r>
          </w:p>
          <w:p w:rsidR="00F80EA5" w:rsidRDefault="00F80EA5" w:rsidP="00F80EA5">
            <w:pPr>
              <w:rPr>
                <w:b/>
              </w:rPr>
            </w:pPr>
            <w:r>
              <w:rPr>
                <w:b/>
              </w:rPr>
              <w:t>0,1785</w:t>
            </w:r>
          </w:p>
          <w:p w:rsidR="00F80EA5" w:rsidRDefault="00F80EA5" w:rsidP="00F80EA5">
            <w:pPr>
              <w:rPr>
                <w:b/>
              </w:rPr>
            </w:pPr>
            <w:r>
              <w:rPr>
                <w:b/>
              </w:rPr>
              <w:t>0,1613</w:t>
            </w:r>
          </w:p>
          <w:p w:rsidR="00F80EA5" w:rsidRDefault="00F80EA5" w:rsidP="00F80EA5">
            <w:pPr>
              <w:rPr>
                <w:b/>
              </w:rPr>
            </w:pPr>
            <w:r>
              <w:rPr>
                <w:b/>
              </w:rPr>
              <w:t>0,1147</w:t>
            </w:r>
          </w:p>
        </w:tc>
        <w:tc>
          <w:tcPr>
            <w:tcW w:w="5057" w:type="dxa"/>
            <w:tcBorders>
              <w:top w:val="single" w:sz="4" w:space="0" w:color="auto"/>
              <w:left w:val="single" w:sz="4" w:space="0" w:color="auto"/>
              <w:bottom w:val="single" w:sz="4" w:space="0" w:color="auto"/>
              <w:right w:val="single" w:sz="4" w:space="0" w:color="auto"/>
            </w:tcBorders>
          </w:tcPr>
          <w:p w:rsidR="00F80EA5" w:rsidRDefault="00F80EA5" w:rsidP="00F80EA5">
            <w:pPr>
              <w:jc w:val="both"/>
            </w:pPr>
            <w:r>
              <w:t>Nieruchomości powstały z podziału działki nr 302/13. Zlokalizowane są w pobliżu drogi krajowej: Nisko – Jarosław. Położone są w terenach zabudowanych, od strony zachodniej i północnej sąsiadują z nieruchomościami zabudowanymi domami mieszkalnymi jednorodzinnymi, od strony południowej z nieruchomościami niezabudowanymi przeznaczonymi pod zabudowę. Teren uzbrojony jest w  sieci infrastruktury technicznej: energetyczną, wodociągową, kanalizację, sanitarną i gazową.</w:t>
            </w:r>
            <w:r w:rsidRPr="00716CF9">
              <w:t xml:space="preserve"> Przez działki</w:t>
            </w:r>
            <w:r>
              <w:t xml:space="preserve">: nr 302/28, 302/29,  302/30, </w:t>
            </w:r>
            <w:r w:rsidRPr="00716CF9">
              <w:t>302/31 przebiega rurociąg gazowy fi</w:t>
            </w:r>
            <w:r>
              <w:t xml:space="preserve">  700, a także sieć kanalizacyjna fi200. Nieruchomości niezabudowane, posiadają kształt zbliżony do trapezu, położone są na płaskim terenie. Nieruchomości oznaczone jak działki nr: 302/23, </w:t>
            </w:r>
            <w:r w:rsidR="00200D28">
              <w:t>302/28</w:t>
            </w:r>
            <w:r>
              <w:t xml:space="preserve">  posiadają dojazd drogą </w:t>
            </w:r>
            <w:r w:rsidR="00200D28">
              <w:t>o  nawierzchni utwardzonej.</w:t>
            </w:r>
            <w:r>
              <w:t xml:space="preserve"> Pozostałe nieruchomości posiadają dojazd częściowo o nawierzchni utwardzonej, częściowo nieutwardzonej.</w:t>
            </w:r>
          </w:p>
        </w:tc>
        <w:tc>
          <w:tcPr>
            <w:tcW w:w="2528" w:type="dxa"/>
            <w:tcBorders>
              <w:top w:val="single" w:sz="4" w:space="0" w:color="auto"/>
              <w:left w:val="single" w:sz="4" w:space="0" w:color="auto"/>
              <w:bottom w:val="single" w:sz="4" w:space="0" w:color="auto"/>
              <w:right w:val="single" w:sz="4" w:space="0" w:color="auto"/>
            </w:tcBorders>
            <w:hideMark/>
          </w:tcPr>
          <w:p w:rsidR="00F80EA5" w:rsidRDefault="00F80EA5" w:rsidP="00F80EA5">
            <w:r>
              <w:t>Nieruchomości są objęte miejscowym Planem Zagospodarowania Przestrzennego Gminy Tryńcza.  Zgodnie z MPZP „Nowe Osiedle” zatwierdzonym Uchwałą Rady Gminy Tryńcza                             Nr XXXII/359/2022 z  dnia 1 marca 2022r., działki zlokalizowane są            w terenach oznaczonych symbolem MN2 – tereny zabudowy mieszkaniowej jednorodzinnej</w:t>
            </w:r>
          </w:p>
        </w:tc>
        <w:tc>
          <w:tcPr>
            <w:tcW w:w="1810" w:type="dxa"/>
            <w:tcBorders>
              <w:top w:val="single" w:sz="4" w:space="0" w:color="auto"/>
              <w:left w:val="single" w:sz="4" w:space="0" w:color="auto"/>
              <w:bottom w:val="single" w:sz="4" w:space="0" w:color="auto"/>
              <w:right w:val="single" w:sz="4" w:space="0" w:color="auto"/>
            </w:tcBorders>
          </w:tcPr>
          <w:p w:rsidR="00F80EA5" w:rsidRDefault="00F80EA5" w:rsidP="00F80EA5">
            <w:pPr>
              <w:jc w:val="center"/>
              <w:rPr>
                <w:b/>
              </w:rPr>
            </w:pPr>
            <w:r>
              <w:rPr>
                <w:b/>
              </w:rPr>
              <w:t>43 400</w:t>
            </w:r>
          </w:p>
          <w:p w:rsidR="00F80EA5" w:rsidRDefault="00F80EA5" w:rsidP="00F80EA5">
            <w:pPr>
              <w:jc w:val="center"/>
              <w:rPr>
                <w:b/>
              </w:rPr>
            </w:pPr>
            <w:r>
              <w:rPr>
                <w:b/>
              </w:rPr>
              <w:t>90 700</w:t>
            </w:r>
          </w:p>
          <w:p w:rsidR="00F80EA5" w:rsidRDefault="00F80EA5" w:rsidP="00F80EA5">
            <w:pPr>
              <w:jc w:val="center"/>
              <w:rPr>
                <w:b/>
              </w:rPr>
            </w:pPr>
            <w:r>
              <w:rPr>
                <w:b/>
              </w:rPr>
              <w:t>55 700</w:t>
            </w:r>
          </w:p>
          <w:p w:rsidR="00F80EA5" w:rsidRDefault="00F80EA5" w:rsidP="00F80EA5">
            <w:pPr>
              <w:jc w:val="center"/>
              <w:rPr>
                <w:b/>
              </w:rPr>
            </w:pPr>
            <w:r>
              <w:rPr>
                <w:b/>
              </w:rPr>
              <w:t>48 300</w:t>
            </w:r>
          </w:p>
          <w:p w:rsidR="00F80EA5" w:rsidRDefault="00F80EA5" w:rsidP="00F80EA5">
            <w:pPr>
              <w:jc w:val="center"/>
              <w:rPr>
                <w:b/>
              </w:rPr>
            </w:pPr>
            <w:r>
              <w:rPr>
                <w:b/>
              </w:rPr>
              <w:t>63 800</w:t>
            </w:r>
          </w:p>
          <w:p w:rsidR="00F80EA5" w:rsidRDefault="00F80EA5" w:rsidP="00F80EA5">
            <w:pPr>
              <w:jc w:val="center"/>
              <w:rPr>
                <w:b/>
              </w:rPr>
            </w:pPr>
            <w:r>
              <w:rPr>
                <w:b/>
              </w:rPr>
              <w:t>91 000</w:t>
            </w:r>
          </w:p>
          <w:p w:rsidR="00F80EA5" w:rsidRDefault="00F80EA5" w:rsidP="00F80EA5">
            <w:pPr>
              <w:jc w:val="center"/>
              <w:rPr>
                <w:b/>
              </w:rPr>
            </w:pPr>
            <w:r>
              <w:rPr>
                <w:b/>
              </w:rPr>
              <w:t>79 300</w:t>
            </w:r>
          </w:p>
          <w:p w:rsidR="00F80EA5" w:rsidRDefault="00F80EA5" w:rsidP="00F80EA5">
            <w:pPr>
              <w:jc w:val="center"/>
              <w:rPr>
                <w:b/>
              </w:rPr>
            </w:pPr>
            <w:r>
              <w:rPr>
                <w:b/>
              </w:rPr>
              <w:t>78 100</w:t>
            </w:r>
          </w:p>
          <w:p w:rsidR="00F80EA5" w:rsidRDefault="00F80EA5" w:rsidP="00F80EA5">
            <w:pPr>
              <w:jc w:val="center"/>
              <w:rPr>
                <w:b/>
              </w:rPr>
            </w:pPr>
            <w:r>
              <w:rPr>
                <w:b/>
              </w:rPr>
              <w:t>79 400</w:t>
            </w:r>
          </w:p>
          <w:p w:rsidR="00F80EA5" w:rsidRDefault="00F80EA5" w:rsidP="00F80EA5">
            <w:pPr>
              <w:jc w:val="center"/>
              <w:rPr>
                <w:b/>
              </w:rPr>
            </w:pPr>
            <w:r>
              <w:rPr>
                <w:b/>
              </w:rPr>
              <w:t>71 700</w:t>
            </w:r>
          </w:p>
          <w:p w:rsidR="00F80EA5" w:rsidRPr="002C5308" w:rsidRDefault="00F80EA5" w:rsidP="00F80EA5">
            <w:pPr>
              <w:jc w:val="center"/>
              <w:rPr>
                <w:b/>
              </w:rPr>
            </w:pPr>
            <w:r>
              <w:rPr>
                <w:b/>
              </w:rPr>
              <w:t>51 000</w:t>
            </w:r>
          </w:p>
        </w:tc>
      </w:tr>
    </w:tbl>
    <w:p w:rsidR="00B22BFB" w:rsidRDefault="00B22BFB" w:rsidP="00B22BFB">
      <w:pPr>
        <w:spacing w:after="0" w:line="240" w:lineRule="auto"/>
        <w:jc w:val="both"/>
        <w:rPr>
          <w:b/>
        </w:rPr>
      </w:pPr>
      <w:r>
        <w:rPr>
          <w:b/>
        </w:rPr>
        <w:t xml:space="preserve">Do wylicytowanej ceny działki doliczony zostanie podatek VAT 23% wartości ceny działki. </w:t>
      </w:r>
    </w:p>
    <w:p w:rsidR="00B22BFB" w:rsidRPr="000360AB" w:rsidRDefault="00B22BFB" w:rsidP="00B22BFB">
      <w:pPr>
        <w:spacing w:after="0" w:line="240" w:lineRule="auto"/>
        <w:jc w:val="both"/>
      </w:pPr>
      <w:r w:rsidRPr="000360AB">
        <w:t xml:space="preserve">Nabywca dokona wskazania granic już nabytej działki własnym kosztem i staraniem. </w:t>
      </w:r>
    </w:p>
    <w:p w:rsidR="00B22BFB" w:rsidRPr="0042622E" w:rsidRDefault="00B22BFB" w:rsidP="00B22BFB">
      <w:pPr>
        <w:spacing w:after="0" w:line="240" w:lineRule="auto"/>
        <w:jc w:val="both"/>
      </w:pPr>
      <w:r w:rsidRPr="0042622E">
        <w:rPr>
          <w:b/>
        </w:rPr>
        <w:t xml:space="preserve">Przetarg odbędzie się w dniu </w:t>
      </w:r>
      <w:r w:rsidR="00F80EA5" w:rsidRPr="00F80EA5">
        <w:rPr>
          <w:b/>
        </w:rPr>
        <w:t>26.06.2025</w:t>
      </w:r>
      <w:r w:rsidRPr="00F80EA5">
        <w:rPr>
          <w:b/>
        </w:rPr>
        <w:t xml:space="preserve"> r</w:t>
      </w:r>
      <w:r w:rsidR="0076150A" w:rsidRPr="00F80EA5">
        <w:rPr>
          <w:b/>
        </w:rPr>
        <w:t>.</w:t>
      </w:r>
      <w:r w:rsidRPr="00F80EA5">
        <w:rPr>
          <w:b/>
        </w:rPr>
        <w:t xml:space="preserve"> o godz.</w:t>
      </w:r>
      <w:r w:rsidR="00793E6D" w:rsidRPr="00F80EA5">
        <w:rPr>
          <w:b/>
        </w:rPr>
        <w:t>10</w:t>
      </w:r>
      <w:r w:rsidRPr="00F80EA5">
        <w:rPr>
          <w:b/>
          <w:vertAlign w:val="superscript"/>
        </w:rPr>
        <w:t>00</w:t>
      </w:r>
      <w:r w:rsidRPr="00F80EA5">
        <w:rPr>
          <w:b/>
        </w:rPr>
        <w:t xml:space="preserve">  </w:t>
      </w:r>
      <w:r w:rsidRPr="0042622E">
        <w:rPr>
          <w:b/>
        </w:rPr>
        <w:t>w Urzędzie Gminy Tryńcza w sali konferencyjnej.</w:t>
      </w:r>
      <w:r w:rsidRPr="0042622E">
        <w:t xml:space="preserve"> </w:t>
      </w:r>
    </w:p>
    <w:p w:rsidR="00B22BFB" w:rsidRDefault="00B22BFB" w:rsidP="00B22BFB">
      <w:pPr>
        <w:spacing w:after="0" w:line="240" w:lineRule="auto"/>
        <w:jc w:val="both"/>
      </w:pPr>
      <w:r w:rsidRPr="000360AB">
        <w:t>W przetargu mogą brać udział osoby, które wniosą wadium w formie pieniężnej w terminie wyznaczonym w niniejszym ogłoszeniu.</w:t>
      </w:r>
    </w:p>
    <w:p w:rsidR="0041501D" w:rsidRPr="000360AB" w:rsidRDefault="0041501D" w:rsidP="00B22BFB">
      <w:pPr>
        <w:spacing w:after="0" w:line="240" w:lineRule="auto"/>
        <w:jc w:val="both"/>
      </w:pPr>
      <w:bookmarkStart w:id="0" w:name="_GoBack"/>
      <w:bookmarkEnd w:id="0"/>
    </w:p>
    <w:p w:rsidR="00AF2CBF" w:rsidRPr="000360AB" w:rsidRDefault="00B22BFB" w:rsidP="00B22BFB">
      <w:pPr>
        <w:spacing w:after="0" w:line="240" w:lineRule="auto"/>
        <w:jc w:val="both"/>
        <w:rPr>
          <w:rFonts w:cstheme="minorHAnsi"/>
          <w:b/>
        </w:rPr>
      </w:pPr>
      <w:r w:rsidRPr="000360AB">
        <w:rPr>
          <w:rFonts w:cstheme="minorHAnsi"/>
          <w:b/>
        </w:rPr>
        <w:lastRenderedPageBreak/>
        <w:t>Wadium w pieniądzu w wysokości 10% wartości dla działki:</w:t>
      </w:r>
    </w:p>
    <w:p w:rsidR="000360AB" w:rsidRPr="000360AB" w:rsidRDefault="007277E8" w:rsidP="000360AB">
      <w:pPr>
        <w:spacing w:after="0" w:line="240" w:lineRule="auto"/>
        <w:rPr>
          <w:rFonts w:eastAsia="Times New Roman" w:cstheme="minorHAnsi"/>
          <w:b/>
          <w:lang w:eastAsia="pl-PL"/>
        </w:rPr>
      </w:pPr>
      <w:r>
        <w:rPr>
          <w:rFonts w:eastAsia="Times New Roman" w:cstheme="minorHAnsi"/>
          <w:b/>
          <w:lang w:eastAsia="pl-PL"/>
        </w:rPr>
        <w:t>- 302/19 w wys. 4 340</w:t>
      </w:r>
      <w:r w:rsidR="000360AB" w:rsidRPr="000360AB">
        <w:rPr>
          <w:rFonts w:eastAsia="Times New Roman" w:cstheme="minorHAnsi"/>
          <w:b/>
          <w:lang w:eastAsia="pl-PL"/>
        </w:rPr>
        <w:t xml:space="preserve"> zł</w:t>
      </w:r>
    </w:p>
    <w:p w:rsidR="000360AB" w:rsidRPr="000360AB" w:rsidRDefault="007277E8" w:rsidP="000360AB">
      <w:pPr>
        <w:spacing w:after="0" w:line="240" w:lineRule="auto"/>
        <w:rPr>
          <w:rFonts w:eastAsia="Times New Roman" w:cstheme="minorHAnsi"/>
          <w:b/>
          <w:lang w:eastAsia="pl-PL"/>
        </w:rPr>
      </w:pPr>
      <w:r>
        <w:rPr>
          <w:rFonts w:eastAsia="Times New Roman" w:cstheme="minorHAnsi"/>
          <w:b/>
          <w:lang w:eastAsia="pl-PL"/>
        </w:rPr>
        <w:t>- 302/23 w wys. 9 070</w:t>
      </w:r>
      <w:r w:rsidR="000360AB" w:rsidRPr="000360AB">
        <w:rPr>
          <w:rFonts w:eastAsia="Times New Roman" w:cstheme="minorHAnsi"/>
          <w:b/>
          <w:lang w:eastAsia="pl-PL"/>
        </w:rPr>
        <w:t xml:space="preserve"> zł  </w:t>
      </w:r>
    </w:p>
    <w:p w:rsidR="000360AB" w:rsidRPr="000360AB" w:rsidRDefault="007277E8" w:rsidP="000360AB">
      <w:pPr>
        <w:spacing w:after="0" w:line="240" w:lineRule="auto"/>
        <w:rPr>
          <w:rFonts w:eastAsia="Times New Roman" w:cstheme="minorHAnsi"/>
          <w:b/>
          <w:lang w:eastAsia="pl-PL"/>
        </w:rPr>
      </w:pPr>
      <w:r>
        <w:rPr>
          <w:rFonts w:eastAsia="Times New Roman" w:cstheme="minorHAnsi"/>
          <w:b/>
          <w:lang w:eastAsia="pl-PL"/>
        </w:rPr>
        <w:t xml:space="preserve">- 302/24 w wys. 5 570 </w:t>
      </w:r>
      <w:r w:rsidR="000360AB" w:rsidRPr="000360AB">
        <w:rPr>
          <w:rFonts w:eastAsia="Times New Roman" w:cstheme="minorHAnsi"/>
          <w:b/>
          <w:lang w:eastAsia="pl-PL"/>
        </w:rPr>
        <w:t>zł</w:t>
      </w:r>
    </w:p>
    <w:p w:rsidR="000360AB" w:rsidRPr="000360AB" w:rsidRDefault="007277E8" w:rsidP="000360AB">
      <w:pPr>
        <w:spacing w:after="0" w:line="240" w:lineRule="auto"/>
        <w:rPr>
          <w:rFonts w:eastAsia="Times New Roman" w:cstheme="minorHAnsi"/>
          <w:b/>
          <w:lang w:eastAsia="pl-PL"/>
        </w:rPr>
      </w:pPr>
      <w:r>
        <w:rPr>
          <w:rFonts w:eastAsia="Times New Roman" w:cstheme="minorHAnsi"/>
          <w:b/>
          <w:lang w:eastAsia="pl-PL"/>
        </w:rPr>
        <w:t>- 302/25 w wys. 4 830</w:t>
      </w:r>
      <w:r w:rsidR="000360AB" w:rsidRPr="000360AB">
        <w:rPr>
          <w:rFonts w:eastAsia="Times New Roman" w:cstheme="minorHAnsi"/>
          <w:b/>
          <w:lang w:eastAsia="pl-PL"/>
        </w:rPr>
        <w:t xml:space="preserve"> zł</w:t>
      </w:r>
    </w:p>
    <w:p w:rsidR="000360AB" w:rsidRPr="000360AB" w:rsidRDefault="007277E8" w:rsidP="000360AB">
      <w:pPr>
        <w:spacing w:after="0" w:line="240" w:lineRule="auto"/>
        <w:rPr>
          <w:rFonts w:eastAsia="Times New Roman" w:cstheme="minorHAnsi"/>
          <w:b/>
          <w:lang w:eastAsia="pl-PL"/>
        </w:rPr>
      </w:pPr>
      <w:r>
        <w:rPr>
          <w:rFonts w:eastAsia="Times New Roman" w:cstheme="minorHAnsi"/>
          <w:b/>
          <w:lang w:eastAsia="pl-PL"/>
        </w:rPr>
        <w:t>- 302/26 w wys. 6 380</w:t>
      </w:r>
      <w:r w:rsidR="000360AB" w:rsidRPr="000360AB">
        <w:rPr>
          <w:rFonts w:eastAsia="Times New Roman" w:cstheme="minorHAnsi"/>
          <w:b/>
          <w:lang w:eastAsia="pl-PL"/>
        </w:rPr>
        <w:t xml:space="preserve"> zł</w:t>
      </w:r>
    </w:p>
    <w:p w:rsidR="000360AB" w:rsidRPr="000360AB" w:rsidRDefault="007277E8" w:rsidP="000360AB">
      <w:pPr>
        <w:spacing w:after="0" w:line="240" w:lineRule="auto"/>
        <w:rPr>
          <w:rFonts w:eastAsia="Times New Roman" w:cstheme="minorHAnsi"/>
          <w:b/>
          <w:lang w:eastAsia="pl-PL"/>
        </w:rPr>
      </w:pPr>
      <w:r>
        <w:rPr>
          <w:rFonts w:eastAsia="Times New Roman" w:cstheme="minorHAnsi"/>
          <w:b/>
          <w:lang w:eastAsia="pl-PL"/>
        </w:rPr>
        <w:t>- 302/28 w wys.</w:t>
      </w:r>
      <w:r w:rsidR="000360AB" w:rsidRPr="000360AB">
        <w:rPr>
          <w:rFonts w:eastAsia="Times New Roman" w:cstheme="minorHAnsi"/>
          <w:b/>
          <w:lang w:eastAsia="pl-PL"/>
        </w:rPr>
        <w:t xml:space="preserve"> </w:t>
      </w:r>
      <w:r>
        <w:rPr>
          <w:rFonts w:eastAsia="Times New Roman" w:cstheme="minorHAnsi"/>
          <w:b/>
          <w:lang w:eastAsia="pl-PL"/>
        </w:rPr>
        <w:t xml:space="preserve">9 100 </w:t>
      </w:r>
      <w:r w:rsidR="000360AB" w:rsidRPr="000360AB">
        <w:rPr>
          <w:rFonts w:eastAsia="Times New Roman" w:cstheme="minorHAnsi"/>
          <w:b/>
          <w:lang w:eastAsia="pl-PL"/>
        </w:rPr>
        <w:t>zł</w:t>
      </w:r>
    </w:p>
    <w:p w:rsidR="000360AB" w:rsidRPr="000360AB" w:rsidRDefault="007277E8" w:rsidP="000360AB">
      <w:pPr>
        <w:spacing w:after="0" w:line="240" w:lineRule="auto"/>
        <w:rPr>
          <w:rFonts w:eastAsia="Times New Roman" w:cstheme="minorHAnsi"/>
          <w:b/>
          <w:lang w:eastAsia="pl-PL"/>
        </w:rPr>
      </w:pPr>
      <w:r>
        <w:rPr>
          <w:rFonts w:eastAsia="Times New Roman" w:cstheme="minorHAnsi"/>
          <w:b/>
          <w:lang w:eastAsia="pl-PL"/>
        </w:rPr>
        <w:t>- 302/29 w wys. 7 930</w:t>
      </w:r>
      <w:r w:rsidR="000360AB" w:rsidRPr="000360AB">
        <w:rPr>
          <w:rFonts w:eastAsia="Times New Roman" w:cstheme="minorHAnsi"/>
          <w:b/>
          <w:lang w:eastAsia="pl-PL"/>
        </w:rPr>
        <w:t xml:space="preserve"> zł</w:t>
      </w:r>
    </w:p>
    <w:p w:rsidR="000360AB" w:rsidRPr="000360AB" w:rsidRDefault="007277E8" w:rsidP="000360AB">
      <w:pPr>
        <w:spacing w:after="0" w:line="240" w:lineRule="auto"/>
        <w:rPr>
          <w:rFonts w:eastAsia="Times New Roman" w:cstheme="minorHAnsi"/>
          <w:b/>
          <w:lang w:eastAsia="pl-PL"/>
        </w:rPr>
      </w:pPr>
      <w:r>
        <w:rPr>
          <w:rFonts w:eastAsia="Times New Roman" w:cstheme="minorHAnsi"/>
          <w:b/>
          <w:lang w:eastAsia="pl-PL"/>
        </w:rPr>
        <w:t>- 302/30 w wys. 7 810</w:t>
      </w:r>
      <w:r w:rsidR="000360AB" w:rsidRPr="000360AB">
        <w:rPr>
          <w:rFonts w:eastAsia="Times New Roman" w:cstheme="minorHAnsi"/>
          <w:b/>
          <w:lang w:eastAsia="pl-PL"/>
        </w:rPr>
        <w:t xml:space="preserve"> zł</w:t>
      </w:r>
    </w:p>
    <w:p w:rsidR="000360AB" w:rsidRPr="000360AB" w:rsidRDefault="00FD5908" w:rsidP="000360AB">
      <w:pPr>
        <w:spacing w:after="0" w:line="240" w:lineRule="auto"/>
        <w:rPr>
          <w:rFonts w:eastAsia="Times New Roman" w:cstheme="minorHAnsi"/>
          <w:b/>
          <w:lang w:eastAsia="pl-PL"/>
        </w:rPr>
      </w:pPr>
      <w:r>
        <w:rPr>
          <w:rFonts w:eastAsia="Times New Roman" w:cstheme="minorHAnsi"/>
          <w:b/>
          <w:lang w:eastAsia="pl-PL"/>
        </w:rPr>
        <w:t xml:space="preserve">- 302/31 w wys. </w:t>
      </w:r>
      <w:r w:rsidR="007277E8">
        <w:rPr>
          <w:rFonts w:eastAsia="Times New Roman" w:cstheme="minorHAnsi"/>
          <w:b/>
          <w:lang w:eastAsia="pl-PL"/>
        </w:rPr>
        <w:t>7 940</w:t>
      </w:r>
      <w:r w:rsidR="000360AB" w:rsidRPr="000360AB">
        <w:rPr>
          <w:rFonts w:eastAsia="Times New Roman" w:cstheme="minorHAnsi"/>
          <w:b/>
          <w:lang w:eastAsia="pl-PL"/>
        </w:rPr>
        <w:t xml:space="preserve"> zł</w:t>
      </w:r>
    </w:p>
    <w:p w:rsidR="000360AB" w:rsidRPr="000360AB" w:rsidRDefault="007277E8" w:rsidP="000360AB">
      <w:pPr>
        <w:spacing w:after="0" w:line="240" w:lineRule="auto"/>
        <w:rPr>
          <w:rFonts w:eastAsia="Times New Roman" w:cstheme="minorHAnsi"/>
          <w:b/>
          <w:lang w:eastAsia="pl-PL"/>
        </w:rPr>
      </w:pPr>
      <w:r>
        <w:rPr>
          <w:rFonts w:eastAsia="Times New Roman" w:cstheme="minorHAnsi"/>
          <w:b/>
          <w:lang w:eastAsia="pl-PL"/>
        </w:rPr>
        <w:t>- 302/36 w wys. 7 170</w:t>
      </w:r>
      <w:r w:rsidR="000360AB" w:rsidRPr="000360AB">
        <w:rPr>
          <w:rFonts w:eastAsia="Times New Roman" w:cstheme="minorHAnsi"/>
          <w:b/>
          <w:lang w:eastAsia="pl-PL"/>
        </w:rPr>
        <w:t xml:space="preserve"> zł</w:t>
      </w:r>
    </w:p>
    <w:p w:rsidR="000360AB" w:rsidRPr="007277E8" w:rsidRDefault="000360AB" w:rsidP="000360AB">
      <w:pPr>
        <w:spacing w:after="0" w:line="240" w:lineRule="auto"/>
        <w:rPr>
          <w:rFonts w:eastAsia="Times New Roman" w:cstheme="minorHAnsi"/>
          <w:b/>
          <w:color w:val="FF0000"/>
          <w:lang w:eastAsia="pl-PL"/>
        </w:rPr>
      </w:pPr>
      <w:r w:rsidRPr="000360AB">
        <w:rPr>
          <w:rFonts w:eastAsia="Times New Roman" w:cstheme="minorHAnsi"/>
          <w:b/>
          <w:lang w:eastAsia="pl-PL"/>
        </w:rPr>
        <w:t>- 3</w:t>
      </w:r>
      <w:r w:rsidR="007277E8">
        <w:rPr>
          <w:rFonts w:eastAsia="Times New Roman" w:cstheme="minorHAnsi"/>
          <w:b/>
          <w:lang w:eastAsia="pl-PL"/>
        </w:rPr>
        <w:t>02/37 w wys. 5 100</w:t>
      </w:r>
      <w:r w:rsidRPr="000360AB">
        <w:rPr>
          <w:rFonts w:eastAsia="Times New Roman" w:cstheme="minorHAnsi"/>
          <w:b/>
          <w:lang w:eastAsia="pl-PL"/>
        </w:rPr>
        <w:t xml:space="preserve"> zł</w:t>
      </w:r>
    </w:p>
    <w:p w:rsidR="00A33E4B" w:rsidRDefault="00A33E4B" w:rsidP="00B22BFB">
      <w:pPr>
        <w:spacing w:line="240" w:lineRule="auto"/>
        <w:jc w:val="both"/>
      </w:pPr>
      <w:r w:rsidRPr="00F80EA5">
        <w:rPr>
          <w:b/>
        </w:rPr>
        <w:t xml:space="preserve">należy wpłacić do dnia </w:t>
      </w:r>
      <w:r w:rsidR="00F80EA5" w:rsidRPr="00F80EA5">
        <w:rPr>
          <w:b/>
        </w:rPr>
        <w:t>23</w:t>
      </w:r>
      <w:r w:rsidRPr="00F80EA5">
        <w:rPr>
          <w:b/>
        </w:rPr>
        <w:t>.</w:t>
      </w:r>
      <w:r w:rsidR="00F80EA5">
        <w:rPr>
          <w:b/>
        </w:rPr>
        <w:t>06.2025</w:t>
      </w:r>
      <w:r w:rsidR="0076150A" w:rsidRPr="0042622E">
        <w:rPr>
          <w:b/>
        </w:rPr>
        <w:t xml:space="preserve"> </w:t>
      </w:r>
      <w:r w:rsidR="00B22BFB" w:rsidRPr="0042622E">
        <w:rPr>
          <w:b/>
        </w:rPr>
        <w:t>r</w:t>
      </w:r>
      <w:r w:rsidR="0076150A" w:rsidRPr="0042622E">
        <w:rPr>
          <w:b/>
        </w:rPr>
        <w:t>.</w:t>
      </w:r>
      <w:r w:rsidR="00B22BFB" w:rsidRPr="0042622E">
        <w:rPr>
          <w:b/>
        </w:rPr>
        <w:t xml:space="preserve"> </w:t>
      </w:r>
      <w:r w:rsidR="00B22BFB" w:rsidRPr="00C75B62">
        <w:rPr>
          <w:b/>
        </w:rPr>
        <w:t xml:space="preserve"> (włącznie – liczy się </w:t>
      </w:r>
      <w:r w:rsidR="00B22BFB">
        <w:rPr>
          <w:b/>
        </w:rPr>
        <w:t>data uznania na rachunku bankowym Urzędu) na rachunek bankowy Urzędu Gminy Tryńcza</w:t>
      </w:r>
      <w:r>
        <w:rPr>
          <w:b/>
        </w:rPr>
        <w:t xml:space="preserve"> </w:t>
      </w:r>
      <w:r w:rsidR="00B22BFB">
        <w:rPr>
          <w:b/>
        </w:rPr>
        <w:t>w</w:t>
      </w:r>
      <w:r w:rsidR="006251FB">
        <w:rPr>
          <w:b/>
        </w:rPr>
        <w:t> </w:t>
      </w:r>
      <w:r w:rsidR="00B22BFB">
        <w:rPr>
          <w:b/>
        </w:rPr>
        <w:t xml:space="preserve"> B</w:t>
      </w:r>
      <w:r w:rsidR="0076150A">
        <w:rPr>
          <w:b/>
        </w:rPr>
        <w:t>anku Spółdzielczym w Jarosławiu</w:t>
      </w:r>
      <w:r w:rsidR="00B22BFB">
        <w:rPr>
          <w:b/>
        </w:rPr>
        <w:t xml:space="preserve">, Filia Tryńcza nr 07 9096 0004 2005 0021 2881 0009. </w:t>
      </w:r>
      <w:r w:rsidR="00B22BFB">
        <w:t>Wadium wniesione w pieniądzu przez uczestnika przetargu, który przetarg wygrał, zalicza się na poczet ceny nabycia nieruchomości. O wysokości postąpienia decydują uczestnicy przetargu, z tym że postąpienie nie może wynosić mniej niż 1% ceny wywoławczej, z zaokrągleniem w górę do pełnych dziesiątek złotych. Przetarg jest ważny bez względu na liczbę uczestników przetargu, jeżeli przynajmniej jeden uczestnik zaoferował co najmniej jedno postąpienie powyżej ceny wywoławczej. Cena nieruchomości ustalona w drodze licytacji płatna jest jednorazowo przed zawarciem umowy notarialnej przenoszącej własność. W dniu podpisania umowy notarialnej środki finansowe winny znajdować się na rachunku bankowym Urzędu Gminy Tryńcza. Koszty notarialne  ponosi Nabywca. Przed otwarciem przetargu jego uczestnik winien przedłożyć komisji przetargowej dowód wpłaty wadium oraz dowód tożsamości. W przypadku gdy uczestnikiem jest osoba prawna lub jednostka organizacyjna, osoba uprawniona do reprezentowania uczestnika przetargu zobowiązana jest przedłożyć aktualny (wystawiony nie wcześniej niż 6 miesięcy przed dniem otwarcia przetargu) wypis  z właściwego rejestru. Jeżeli uczestnik reprezentowany jest przez pełnomocnika, konieczne jest przedłożenie oryginału pełnomocnictwa upoważniającego do działania na każdym etapie postępowania przetargowego. W przypadku, gdy nabywcą nieruchomości ustalony zostanie cudzoziemiec w</w:t>
      </w:r>
      <w:r w:rsidR="00CB16F4">
        <w:t> </w:t>
      </w:r>
      <w:r w:rsidR="00B22BFB">
        <w:t xml:space="preserve"> rozumieniu ustawy z dnia 24.03.1920 roku o nabywaniu nieruchomości przez cudzoziemców (tekst jednolity Dz. U. z </w:t>
      </w:r>
      <w:r w:rsidR="00793E6D">
        <w:t xml:space="preserve">2017 </w:t>
      </w:r>
      <w:r w:rsidR="00B22BFB">
        <w:t>r, poz.</w:t>
      </w:r>
      <w:r w:rsidR="00793E6D">
        <w:t>2278</w:t>
      </w:r>
      <w:r w:rsidR="00B22BFB">
        <w:t xml:space="preserve"> z </w:t>
      </w:r>
      <w:proofErr w:type="spellStart"/>
      <w:r w:rsidR="00B22BFB">
        <w:t>póź</w:t>
      </w:r>
      <w:proofErr w:type="spellEnd"/>
      <w:r w:rsidR="00B22BFB">
        <w:t>. zm.) do zawarcia umowy notarialnej sprzedaży nieruchomości Nabywca winien przedłożyć zezwolenie, jeżeli uzyskanie zezwolenia wynika z przepisów cytowanej wyżej ustawy. Uczestnik ustalony jako nabywca zostanie powiadomiony o miejscu i terminie zawarcia umowy sprzedaży najpóźniej w terminie 21 dni od dnia rozstrzygnięcia przetargu. Jeżeli osoba ustalona jako Nabywca nieruchomości nie przystąpi bez usprawiedliwienia do zawarcia umowy w miejscu i w terminie podanym w</w:t>
      </w:r>
      <w:r w:rsidR="00CB16F4">
        <w:t> </w:t>
      </w:r>
      <w:r w:rsidR="00B22BFB">
        <w:t xml:space="preserve"> zawiadomieniu, organizator przetargu może odstąpić od zawarcia umowy, a wpłacone wadium nie podlega zwrotowi. Wójt Gminy Tryńcza zastrzega sobie prawo odwołania i unieważnienia przetargu. Informacja oraz przyczyny odwołania przetargu zostaje podana do publicznej wiadomości. Szczegółowe informacje dotyczące wyżej wymienionej nieruchomości można uzyskać w Urzędzie Gminy Tryńcza, pokój nr 7 lub telef</w:t>
      </w:r>
      <w:r w:rsidR="00BC2232">
        <w:t>onicznie (16) 642 12 21 wew. 23.</w:t>
      </w:r>
      <w:r w:rsidR="00B22BFB">
        <w:t xml:space="preserve">   </w:t>
      </w:r>
    </w:p>
    <w:p w:rsidR="00B22BFB" w:rsidRDefault="00A33E4B" w:rsidP="00BC2232">
      <w:pPr>
        <w:spacing w:after="0" w:line="240" w:lineRule="auto"/>
        <w:jc w:val="both"/>
      </w:pPr>
      <w:r>
        <w:t>Tryń</w:t>
      </w:r>
      <w:r w:rsidR="00E1439B">
        <w:t>cza dnia</w:t>
      </w:r>
      <w:r w:rsidR="00CE1319">
        <w:t xml:space="preserve"> </w:t>
      </w:r>
      <w:r w:rsidR="00F80EA5" w:rsidRPr="00F80EA5">
        <w:t>20.05</w:t>
      </w:r>
      <w:r w:rsidR="00E1439B" w:rsidRPr="00F80EA5">
        <w:t>.</w:t>
      </w:r>
      <w:r w:rsidR="00B22BFB" w:rsidRPr="00F80EA5">
        <w:t>202</w:t>
      </w:r>
      <w:r w:rsidR="00F80EA5" w:rsidRPr="00F80EA5">
        <w:t>5</w:t>
      </w:r>
      <w:r w:rsidR="006251FB" w:rsidRPr="00F80EA5">
        <w:t xml:space="preserve"> </w:t>
      </w:r>
      <w:r w:rsidR="006251FB">
        <w:t>r.</w:t>
      </w:r>
      <w:r w:rsidR="00B22BFB">
        <w:t xml:space="preserve">                                                                                                                                                     </w:t>
      </w:r>
      <w:r>
        <w:t xml:space="preserve"> </w:t>
      </w:r>
      <w:r w:rsidR="006251FB">
        <w:t xml:space="preserve">      </w:t>
      </w:r>
      <w:r w:rsidR="00BC2232">
        <w:t xml:space="preserve">   </w:t>
      </w:r>
      <w:r w:rsidR="00CB16F4">
        <w:t xml:space="preserve">  </w:t>
      </w:r>
      <w:r w:rsidR="00B22BFB">
        <w:t xml:space="preserve">  </w:t>
      </w:r>
      <w:r w:rsidR="00BC2232">
        <w:t>Z up. Wójta</w:t>
      </w:r>
    </w:p>
    <w:p w:rsidR="00BC2232" w:rsidRDefault="00BC2232" w:rsidP="00BC2232">
      <w:pPr>
        <w:spacing w:after="0" w:line="240" w:lineRule="auto"/>
        <w:jc w:val="both"/>
      </w:pPr>
      <w:r>
        <w:t xml:space="preserve">                                                                                                                                                                                                            Magdalena </w:t>
      </w:r>
      <w:proofErr w:type="spellStart"/>
      <w:r>
        <w:t>Rachfał</w:t>
      </w:r>
      <w:proofErr w:type="spellEnd"/>
    </w:p>
    <w:p w:rsidR="003716B6" w:rsidRDefault="00BC2232" w:rsidP="00BC2232">
      <w:pPr>
        <w:spacing w:after="0" w:line="240" w:lineRule="auto"/>
        <w:jc w:val="both"/>
      </w:pPr>
      <w:r>
        <w:t xml:space="preserve">                                                                                                                                                                                                              Sekretarz Gminy</w:t>
      </w:r>
      <w:r w:rsidR="00B22BFB">
        <w:t xml:space="preserve">                                                                                                                        </w:t>
      </w:r>
      <w:r>
        <w:t xml:space="preserve">                            </w:t>
      </w:r>
      <w:r w:rsidR="00B22BFB">
        <w:t xml:space="preserve">                                                                                                                                                                                       </w:t>
      </w:r>
    </w:p>
    <w:sectPr w:rsidR="003716B6" w:rsidSect="00C75B62">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EB"/>
    <w:rsid w:val="000360AB"/>
    <w:rsid w:val="000A2341"/>
    <w:rsid w:val="000D2798"/>
    <w:rsid w:val="001B4DEB"/>
    <w:rsid w:val="00200D28"/>
    <w:rsid w:val="003716B6"/>
    <w:rsid w:val="003A0F7B"/>
    <w:rsid w:val="0041501D"/>
    <w:rsid w:val="0042622E"/>
    <w:rsid w:val="004B451D"/>
    <w:rsid w:val="006251FB"/>
    <w:rsid w:val="007277E8"/>
    <w:rsid w:val="0076150A"/>
    <w:rsid w:val="00793E6D"/>
    <w:rsid w:val="0093596A"/>
    <w:rsid w:val="00A33E4B"/>
    <w:rsid w:val="00AE5827"/>
    <w:rsid w:val="00AF2CBF"/>
    <w:rsid w:val="00B22BFB"/>
    <w:rsid w:val="00BC2232"/>
    <w:rsid w:val="00C75B62"/>
    <w:rsid w:val="00CB16F4"/>
    <w:rsid w:val="00CE1319"/>
    <w:rsid w:val="00E1439B"/>
    <w:rsid w:val="00F80EA5"/>
    <w:rsid w:val="00FD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EF755-54B0-4D57-88AD-AA3B403F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2B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22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33E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3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993</Words>
  <Characters>5959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18</cp:revision>
  <cp:lastPrinted>2024-06-03T06:59:00Z</cp:lastPrinted>
  <dcterms:created xsi:type="dcterms:W3CDTF">2023-10-04T05:49:00Z</dcterms:created>
  <dcterms:modified xsi:type="dcterms:W3CDTF">2025-05-12T10:33:00Z</dcterms:modified>
</cp:coreProperties>
</file>